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الجمال البغداذي
</w:t>
      </w:r>
    </w:p>
    <w:p>
      <w:pPr>
        <w:jc w:val="start"/>
        <w:bidi/>
      </w:pPr>
      <w:r>
        <w:rPr>
          <w:rFonts w:ascii="arial" w:hAnsi="arial" w:eastAsia="arial" w:cs="arial"/>
          <w:sz w:val="28"/>
          <w:szCs w:val="28"/>
          <w:b w:val="1"/>
          <w:bCs w:val="1"/>
          <w:rtl/>
        </w:rPr>
        <w:t xml:space="preserve">الجمال البغداذي
</w:t>
      </w:r>
    </w:p>
    <w:p>
      <w:pPr/>
      <w:r>
        <w:rPr/>
        <w:t xml:space="preserve">الجمال البغداذي أحمد بن سلمان بن أحمد بن سلمان بن أبي شريك الجمال أبو العباس المقرئ البغداذي، قرأ بالروايات عن جماعة من أصحاب البارع أبي عبد الله الحسين بن محمد الدباس وأبي بكر محمد بن الحسين المزرفي وأبي القاسم هبة الله بن أحمد الحريري وغيرهم، وأسمعه والده الكثير في صباه وسمع هو بنفسه الكثير وقرأ على المشايخ بخطه كثيرا، سمع سعيد بن أحمد البناء ومحمد بن عبد الباقي وأحمد بن سلمان وأحمد بن بنيمان المستعمل وجماعة من أصحاب أبي القاسم ابن بيان وأبي علي ابن نبهان وأبي طالب بن يوسف وأبي علي بن المهدي وأبي العز بن كادش وغيرهم حتى سمع من أصحاب أبي الفضل الأرموي وأبي بكر ابن الزاغوني والحافظ ابن ناصر وأبي الوقت السجزي ولم يزل يسمع إلى أن مات سنة إحدى وست مائة، وسافر الحجاز والجزيرة والشام وواسط، قال محب الدين ابن النجار: كتبت عنه وكان صدوقا، أمينا متدينا حسن الطريقة سليم الجانب طيب الأخلاق يقرأ في التراويح كل ليلة نصف القرآن بقي على ذلك سنين وكان حسن التلاوة.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2026-06-29T16:37:31+03:00</dcterms:created>
  <dcterms:modified xsi:type="dcterms:W3CDTF">2026-06-29T16:37:31+03:00</dcterms:modified>
</cp:coreProperties>
</file>

<file path=docProps/custom.xml><?xml version="1.0" encoding="utf-8"?>
<Properties xmlns="http://schemas.openxmlformats.org/officeDocument/2006/custom-properties" xmlns:vt="http://schemas.openxmlformats.org/officeDocument/2006/docPropsVTypes"/>
</file>