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المقرئ الطرابلسي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المقرئ الطرابلسي
</w:t>
      </w:r>
    </w:p>
    <w:p>
      <w:pPr/>
      <w:r>
        <w:rPr/>
        <w:t xml:space="preserve">المقرئ الطرابلسي أحمد بن سعيد بن أحمد بن نفيس المقرئ أصله من طرابلس الغرب، انتقلت إليه رياسة الإقراء بمصر وفاق قراء الأمصار بعلو الإسناد، وتوفي سنة ثلاث وخمسين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أحمد بن سعيد بن أحمد بن نفيس المصري
</w:t>
      </w:r>
    </w:p>
    <w:p>
      <w:pPr/>
      <w:r>
        <w:rPr/>
        <w:t xml:space="preserve">ومقرئ ديار مصر أبو العباس أحمد بن سعيد بن أحمد بن نفيس المصري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2026-06-29T16:40:47+03:00</dcterms:created>
  <dcterms:modified xsi:type="dcterms:W3CDTF">2026-06-29T16:40:47+03:00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