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سبط ابن فورك الواعظ
</w:t>
      </w:r>
    </w:p>
    <w:p>
      <w:pPr>
        <w:jc w:val="start"/>
        <w:bidi/>
      </w:pPr>
      <w:r>
        <w:rPr>
          <w:rFonts w:ascii="arial" w:hAnsi="arial" w:eastAsia="arial" w:cs="arial"/>
          <w:sz w:val="28"/>
          <w:szCs w:val="28"/>
          <w:b w:val="1"/>
          <w:bCs w:val="1"/>
          <w:rtl/>
        </w:rPr>
        <w:t xml:space="preserve">سبط ابن فورك الواعظ
</w:t>
      </w:r>
    </w:p>
    <w:p>
      <w:pPr/>
      <w:r>
        <w:rPr/>
        <w:t xml:space="preserve">سبط ابن فورك الواعظ أحمد بن الحسن بن محمد بن إبراهيم أبو بكر سبط ابن فورك وختن أبي القاسم القشيري على ابنته، كان يعظ في النظامية فوقعت لسببه الفتنة بين المذاهب، قال صاحب المرآة: كان مؤثرا للدنيا طالبا للجاه ولا يتحاشى من لبس الحرير وقيل لابن جهير الوزير: ألا تحضره لتسمع منه الحديث؟ فقال: الحديث أصلف من الحال التي هو عليها، وكان داعية إلى البدعة يأخذ مكس الفحم من الحدادين ويأكل منه، وتوفي في شعبان سنة ثمان وسبعين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2026-06-30T22:22:33+03:00</dcterms:created>
  <dcterms:modified xsi:type="dcterms:W3CDTF">2026-06-30T22:22:33+03:00</dcterms:modified>
</cp:coreProperties>
</file>

<file path=docProps/custom.xml><?xml version="1.0" encoding="utf-8"?>
<Properties xmlns="http://schemas.openxmlformats.org/officeDocument/2006/custom-properties" xmlns:vt="http://schemas.openxmlformats.org/officeDocument/2006/docPropsVTypes"/>
</file>