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الحيري الشافعي
</w:t>
      </w:r>
    </w:p>
    <w:p>
      <w:pPr>
        <w:jc w:val="start"/>
        <w:bidi/>
      </w:pPr>
      <w:r>
        <w:rPr>
          <w:rFonts w:ascii="arial" w:hAnsi="arial" w:eastAsia="arial" w:cs="arial"/>
          <w:sz w:val="28"/>
          <w:szCs w:val="28"/>
          <w:b w:val="1"/>
          <w:bCs w:val="1"/>
          <w:rtl/>
        </w:rPr>
        <w:t xml:space="preserve">أبو بكر الحيري الشافعي
</w:t>
      </w:r>
    </w:p>
    <w:p>
      <w:pPr/>
      <w:r>
        <w:rPr/>
        <w:t xml:space="preserve">أبو بكر الحيري الشافعي أحمد بن الحسن بن أحمد بن محمد بن أحمد بن حفص بن مسلم بن يزيد القاضي أبو بكر ابن أبي علي ابن الشيخ المحدث أبي عمرو الحيري، انتقى له الحاكم فوائد وقلد قضاء نيسابور، ورخه الحافظ محمد بن منصور السمعاني وقال: هو ثقة في الحديث ودرس الأصول على أصحاب أبي الحسن الأشعري وكان عارفا بمذهب الشافعي، أصيب بوقر في آذانه وتوفي في رمضان سنة إحدى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2026-06-30T23:30:04+03:00</dcterms:created>
  <dcterms:modified xsi:type="dcterms:W3CDTF">2026-06-30T23:30:04+03:00</dcterms:modified>
</cp:coreProperties>
</file>

<file path=docProps/custom.xml><?xml version="1.0" encoding="utf-8"?>
<Properties xmlns="http://schemas.openxmlformats.org/officeDocument/2006/custom-properties" xmlns:vt="http://schemas.openxmlformats.org/officeDocument/2006/docPropsVTypes"/>
</file>