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حامد المقرئ
</w:t>
      </w:r>
    </w:p>
    <w:p>
      <w:pPr>
        <w:jc w:val="start"/>
        <w:bidi/>
      </w:pPr>
      <w:r>
        <w:rPr>
          <w:rFonts w:ascii="arial" w:hAnsi="arial" w:eastAsia="arial" w:cs="arial"/>
          <w:sz w:val="28"/>
          <w:szCs w:val="28"/>
          <w:b w:val="1"/>
          <w:bCs w:val="1"/>
          <w:rtl/>
        </w:rPr>
        <w:t xml:space="preserve">أبو حامد المقرئ
</w:t>
      </w:r>
    </w:p>
    <w:p>
      <w:pPr/>
      <w:r>
        <w:rPr/>
        <w:t xml:space="preserve">أبو حامد المقرئ أحمد بن إبراهيم بن محمد بن عبد الله بن الحسن الفارسي أبو حامد المقرئ الأديب نزيل نيسابور، جمع في القراءات مصنفات كثيرة، قال الحاكم: وكان من العباد أقام في منزل أبي إسحاق المزكي سنين لتأديب أولاده وحفظ سماعاتهم، سمع في بلده من أصحاب أبي الأشعث وعمر ابن شبة وأقرانهم، مات بنيسابور سنة ست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2026-07-02T05:47:26+03:00</dcterms:created>
  <dcterms:modified xsi:type="dcterms:W3CDTF">2026-07-02T05:47:26+03:00</dcterms:modified>
</cp:coreProperties>
</file>

<file path=docProps/custom.xml><?xml version="1.0" encoding="utf-8"?>
<Properties xmlns="http://schemas.openxmlformats.org/officeDocument/2006/custom-properties" xmlns:vt="http://schemas.openxmlformats.org/officeDocument/2006/docPropsVTypes"/>
</file>