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الغنائم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الغنائم الكاتب
</w:t>
      </w:r>
    </w:p>
    <w:p>
      <w:pPr/>
      <w:r>
        <w:rPr/>
        <w:t xml:space="preserve">أبو الغنائم الكاتب أحمد بن إبراهيم بن محمد بن أبي بكر بن عبد الله الشيرازي أبو الغنائم الكاتب، أورد له محب الدين ابن النجار قوله:</w:t>
      </w:r>
    </w:p>
    <w:p/>
    <w:p>
      <w:pPr>
        <w:jc w:val="center"/>
      </w:pPr>
      <w:r>
        <w:rPr>
          <w:color w:val="ff0000"/>
        </w:rPr>
        <w:t xml:space="preserve">قد خرف الشيخ وانحنى كبرا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وهتك الشيب منه ما سترا</w:t>
      </w:r>
    </w:p>
    <w:p/>
    <w:p>
      <w:pPr>
        <w:jc w:val="center"/>
      </w:pPr>
      <w:r>
        <w:rPr>
          <w:color w:val="ff0000"/>
        </w:rPr>
        <w:t xml:space="preserve">غيره دهره ولم تزل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ـأيام بالمرء تحدث الغيرا</w:t>
      </w:r>
    </w:p>
    <w:p/>
    <w:p>
      <w:pPr>
        <w:jc w:val="center"/>
      </w:pPr>
      <w:r>
        <w:rPr>
          <w:color w:val="ff0000"/>
        </w:rPr>
        <w:t xml:space="preserve">وكان في غيره له عبر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فاليوم أضحى لغيره عبرا</w:t>
      </w:r>
    </w:p>
    <w:p/>
    <w:p>
      <w:pPr>
        <w:jc w:val="center"/>
      </w:pPr>
      <w:r>
        <w:rPr>
          <w:color w:val="ff0000"/>
        </w:rPr>
        <w:t xml:space="preserve">انظر إلى حاله تجد عجبا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وسبح الله فيه مفتكرا</w:t>
      </w:r>
    </w:p>
    <w:p/>
    <w:p>
      <w:pPr>
        <w:jc w:val="center"/>
      </w:pPr>
      <w:r>
        <w:rPr>
          <w:color w:val="ff0000"/>
        </w:rPr>
        <w:t xml:space="preserve">يمشي مكبا بوجهه كبرا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تحسبه القوس والعصا وترا</w:t>
      </w:r>
    </w:p>
    <w:p/>
    <w:p>
      <w:pPr/>
      <w:r>
        <w:rPr/>
        <w:t xml:space="preserve">توفي سنة سبع وسبعين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2026-07-02T05:33:46+03:00</dcterms:created>
  <dcterms:modified xsi:type="dcterms:W3CDTF">2026-07-02T05:33:46+03:00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