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البرني أبو إسحاق الواعظ
</w:t>
      </w:r>
    </w:p>
    <w:p>
      <w:pPr>
        <w:jc w:val="start"/>
        <w:bidi/>
      </w:pPr>
      <w:r>
        <w:rPr>
          <w:rFonts w:ascii="arial" w:hAnsi="arial" w:eastAsia="arial" w:cs="arial"/>
          <w:sz w:val="28"/>
          <w:szCs w:val="28"/>
          <w:b w:val="1"/>
          <w:bCs w:val="1"/>
          <w:rtl/>
        </w:rPr>
        <w:t xml:space="preserve">البرني أبو إسحاق الواعظ
</w:t>
      </w:r>
    </w:p>
    <w:p>
      <w:pPr/>
      <w:r>
        <w:rPr/>
        <w:t xml:space="preserve">البرني أبو إسحاق الواعظ إبراهيم بن المظفر بن إبراهيم أبو إسحاق الواعظ من أهل الحربية يعرف بابن البرني، سافر والده إلى الموصل فولد بها وقدم به بغداذ فنشأ بها وتفقه على مذهب الإمام أحمد بن حنبل وسمع من ابن البطي وأبي أحمد ابن الرحبي وابن النقور وشهدة الكاتبة، وخرج من بغداذ وهو شاب وأقام بالموصل ثم انتقل إلى سنجا ثم عاد إلى الموصل وكان يعظ هناك، وتوفي سنة اثنتين وعشرين وست مائة، أخذ عنه ابن النجار محب الدين.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المظفر، أبو إسحاق المعروف بابن البرني.
</w:t>
      </w:r>
    </w:p>
    <w:p>
      <w:pPr/>
      <w:r>
        <w:rPr/>
        <w:t xml:space="preserve">إبراهيم بن المظفر، أبو إسحاق المعروف بابن البرني. </w:t>
      </w:r>
    </w:p>
    <w:p/>
    <w:p>
      <w:pPr/>
      <w:r>
        <w:rPr/>
        <w:t xml:space="preserve">سمع وحدث.</w:t>
      </w:r>
    </w:p>
    <w:p/>
    <w:p>
      <w:pPr/>
      <w:r>
        <w:rPr/>
        <w:t xml:space="preserve">قال ابن النجار: 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2026-07-02T08:15:25+03:00</dcterms:created>
  <dcterms:modified xsi:type="dcterms:W3CDTF">2026-07-02T08:15:25+03:00</dcterms:modified>
</cp:coreProperties>
</file>

<file path=docProps/custom.xml><?xml version="1.0" encoding="utf-8"?>
<Properties xmlns="http://schemas.openxmlformats.org/officeDocument/2006/custom-properties" xmlns:vt="http://schemas.openxmlformats.org/officeDocument/2006/docPropsVTypes"/>
</file>