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الساعاتي
</w:t>
      </w:r>
    </w:p>
    <w:p>
      <w:pPr>
        <w:jc w:val="start"/>
        <w:bidi/>
      </w:pPr>
      <w:r>
        <w:rPr>
          <w:rFonts w:ascii="arial" w:hAnsi="arial" w:eastAsia="arial" w:cs="arial"/>
          <w:sz w:val="28"/>
          <w:szCs w:val="28"/>
          <w:b w:val="1"/>
          <w:bCs w:val="1"/>
          <w:rtl/>
        </w:rPr>
        <w:t xml:space="preserve">ابن الساعاتي
</w:t>
      </w:r>
    </w:p>
    <w:p>
      <w:pPr/>
      <w:r>
        <w:rPr/>
        <w:t xml:space="preserve">ابن الساعاتي إبراهيم بن مرتفع بن أرسلان أبو إسحاق المصري الذهبي الناسخ ويعرف بابن الساعاتي، سمع من هبة الله بن سناء الملك بعض شعره، وكان مليح الإذهاب والنسخ وله شعر كتبوا عنه، وتوفي سنة إحدى وخمسين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المذهب الناسخ إبراهيم بن مرتفع بن رسلان.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2026-07-02T08:12:48+03:00</dcterms:created>
  <dcterms:modified xsi:type="dcterms:W3CDTF">2026-07-02T08:12:48+03:00</dcterms:modified>
</cp:coreProperties>
</file>

<file path=docProps/custom.xml><?xml version="1.0" encoding="utf-8"?>
<Properties xmlns="http://schemas.openxmlformats.org/officeDocument/2006/custom-properties" xmlns:vt="http://schemas.openxmlformats.org/officeDocument/2006/docPropsVTypes"/>
</file>