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منصور الهيتي الحنفي
</w:t>
      </w:r>
    </w:p>
    <w:p>
      <w:pPr>
        <w:jc w:val="start"/>
        <w:bidi/>
      </w:pPr>
      <w:r>
        <w:rPr>
          <w:rFonts w:ascii="arial" w:hAnsi="arial" w:eastAsia="arial" w:cs="arial"/>
          <w:sz w:val="28"/>
          <w:szCs w:val="28"/>
          <w:b w:val="1"/>
          <w:bCs w:val="1"/>
          <w:rtl/>
        </w:rPr>
        <w:t xml:space="preserve">أبو منصور الهيتي الحنفي
</w:t>
      </w:r>
    </w:p>
    <w:p>
      <w:pPr/>
      <w:r>
        <w:rPr/>
        <w:t xml:space="preserve">أبو منصور الهيتي الحنفي إبراهيم بن محمد بن إبراهيم بن محمد بن سالم بن علوي بن جحاف بن ظبيان بن الأبرد بن قيس بن وائل بن امرئ القيس ينتهي إلى النمر بن قاسط بن هنب النمري أبو منصور من أهل هيت، قدم بغداذ وأقام بها، قرأ الفقه على مذهب أبي حنيفة على قاضي القضاة الدامغاني حتى برع وصارت له يد في المناظرة، وكان يعرف العربية معرفة حسنة، توفي سنة سبع وثلاثين وخمس مائة ودفن عند مشهد أبي حنيفة.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2026-07-02T08:15:27+03:00</dcterms:created>
  <dcterms:modified xsi:type="dcterms:W3CDTF">2026-07-02T08:15:27+03:00</dcterms:modified>
</cp:coreProperties>
</file>

<file path=docProps/custom.xml><?xml version="1.0" encoding="utf-8"?>
<Properties xmlns="http://schemas.openxmlformats.org/officeDocument/2006/custom-properties" xmlns:vt="http://schemas.openxmlformats.org/officeDocument/2006/docPropsVTypes"/>
</file>