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صاحب المراح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صاحب المراح
</w:t>
      </w:r>
    </w:p>
    <w:p>
      <w:pPr/>
      <w:r>
        <w:rPr/>
        <w:t xml:space="preserve">صاحب المراح  أحمد بن علي بن مسعود، أبو الفضائل، حسام الدين: مصنف ’’ مراح الأرواح - ط) وهو رسالة متداولة في علم الصرف. ليست لصاحبها ترجمة معروفة، كما قال السيوطي في البغية. شرحها البدر العيني، حوالي سنة 781 ومن هذا قدرت وفاته تخمينا.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2026-07-03T23:03:05+03:00</dcterms:created>
  <dcterms:modified xsi:type="dcterms:W3CDTF">2026-07-03T23:03:05+03:00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