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تونس
</w:t>
      </w:r>
    </w:p>
    <w:p>
      <w:pPr>
        <w:jc w:val="start"/>
        <w:bidi/>
      </w:pPr>
      <w:r>
        <w:rPr>
          <w:rFonts w:ascii="arial" w:hAnsi="arial" w:eastAsia="arial" w:cs="arial"/>
          <w:sz w:val="28"/>
          <w:szCs w:val="28"/>
          <w:b w:val="1"/>
          <w:bCs w:val="1"/>
          <w:rtl/>
        </w:rPr>
        <w:t xml:space="preserve">قاضي تونس
</w:t>
      </w:r>
    </w:p>
    <w:p>
      <w:pPr/>
      <w:r>
        <w:rPr/>
        <w:t xml:space="preserve">قاضي تونس إبراهيم بن حسن بن علي بن عبد الرفيع الربعي المالكي الحاكم بتونس، ولد سنة ست وثلاثين وست مائة وتوفي رحمه الله سنة أربع وثلاثين وسبع مائة، وألف أربعين حديثا قال الشيخ شمس الدين: استفدت منها، واختصر التفريع لابن الجلاب سماه السهل البديع، وعمر دهرا، ذكر أنه سمع من محمد بن عبد الجبار الرعيني سنة خمس وخمسين كتاب البخاري عن أبي محمد ابن حوط الله عن ابن بشكوال عن ابن مغيث عن أبي عمر ابن الحذاء عن أبي محمد بن أسد عن ابن السكن، وذكر أنه سمع الموطأ كله عن ابن حوط الله عن أبي عبد الله ابن زرقون، قال: وسمعت أربعين السلفي بقراءتي سنة ثمان وخمسين على الفقيه عثمان بن سفيان التميمي عن الحافظ ابن الفضل عنه، وسمعت مقامات الحريري عليه وابن جبير عن الخشوعي، قال الشيخ شمس الدين: قرأت وفاة ابن عبد الرفيع بخط ابن المطري سنة أربع وثلاثين، وذكر أنه كتب إليه بالإجازة، وخلفه في العلم والقضاء العلامة أبو العباس أحمد بن عبد السلام صاحب شرح المختصر في الفقه لابن الحاجب.</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2026-07-03T13:50:41+03:00</dcterms:created>
  <dcterms:modified xsi:type="dcterms:W3CDTF">2026-07-03T13:50:41+03:00</dcterms:modified>
</cp:coreProperties>
</file>

<file path=docProps/custom.xml><?xml version="1.0" encoding="utf-8"?>
<Properties xmlns="http://schemas.openxmlformats.org/officeDocument/2006/custom-properties" xmlns:vt="http://schemas.openxmlformats.org/officeDocument/2006/docPropsVTypes"/>
</file>