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البارع
</w:t>
      </w:r>
    </w:p>
    <w:p>
      <w:pPr>
        <w:jc w:val="start"/>
        <w:bidi/>
      </w:pPr>
      <w:r>
        <w:rPr>
          <w:rFonts w:ascii="arial" w:hAnsi="arial" w:eastAsia="arial" w:cs="arial"/>
          <w:sz w:val="28"/>
          <w:szCs w:val="28"/>
          <w:b w:val="1"/>
          <w:bCs w:val="1"/>
          <w:rtl/>
        </w:rPr>
        <w:t xml:space="preserve">أبو إسحاق البارع
</w:t>
      </w:r>
    </w:p>
    <w:p>
      <w:pPr/>
      <w:r>
        <w:rPr/>
        <w:t xml:space="preserve">أبو إسحاق البارع إبراهيم بن إسحاق الأديب اللغوي أبو إسحاق الضرير البارع، قال ياقوت: سمع الحديث بالبصرة والأهواز وبغداذ بعد الأربعين والثلاث مائة، وكان من الشعراء المجودين، طاف بعض الدنيا واستوطن نيسابور إلى أن مات بها سنة ثمان وسبعين وثلاث مائة، وكان من الشعراء المجودين وممن تعلم الفقه والكلام، قال ذلك كله الحاكم ولقيه وروى عنه.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2026-07-03T14:50:50+03:00</dcterms:created>
  <dcterms:modified xsi:type="dcterms:W3CDTF">2026-07-03T14:50:50+03:00</dcterms:modified>
</cp:coreProperties>
</file>

<file path=docProps/custom.xml><?xml version="1.0" encoding="utf-8"?>
<Properties xmlns="http://schemas.openxmlformats.org/officeDocument/2006/custom-properties" xmlns:vt="http://schemas.openxmlformats.org/officeDocument/2006/docPropsVTypes"/>
</file>