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مينار
</w:t>
      </w:r>
    </w:p>
    <w:p>
      <w:pPr>
        <w:jc w:val="start"/>
        <w:bidi/>
      </w:pPr>
      <w:r>
        <w:rPr>
          <w:rFonts w:ascii="arial" w:hAnsi="arial" w:eastAsia="arial" w:cs="arial"/>
          <w:sz w:val="28"/>
          <w:szCs w:val="28"/>
          <w:b w:val="1"/>
          <w:bCs w:val="1"/>
          <w:rtl/>
        </w:rPr>
        <w:t xml:space="preserve">دي مينار
</w:t>
      </w:r>
    </w:p>
    <w:p>
      <w:pPr/>
      <w:r>
        <w:rPr/>
        <w:t xml:space="preserve">دي مينار  كازيمير أدريان باربيية دي مينار Casimir Adrien de Meynard: مستشرق فرنسي. ولد على باخرة كانت أمه عائدة عليها من الآستانة إلى مرسيلية. وتعلم بباريس. وعين في القنصلية الفرنسية بالقدس، ثم بطهران، فالآستانة. كان يحسن العربية والفارسية والتركية. ودرس التركية في مدرسة اللغات الشرقية بباريس، ثم العربية في ’’ كليج دي فرانس’’ وانتدب لإدارة المجلة الآسيوية Journal Asiatique وتوفي بباريس. ترجم إلى الفرنسية ’’ مروج الذهب ’’ للمسعودي، وطبع الترجمة مع الأصل العربي في تسعة أجزاء ساعده في بعضها ’’ بافه دي كورتي’’ Bavet de Courteille ونشر بالعربية ’’ منتخبات ’’ من ’’ الروضتين’’ لأبي شامة. وكتب فصولا بالفرنسية عن (الأسماء والكنى عند العرب) و (السيد الحميري) و (محمد الشيباني) والسلطانين (نور الدين، وصلاح الدين) و (إبراهيم بن المهدي) وغير ذلك. ونشر بالفرنسية ما يختص ببلاد فارس من (معجم البلدان) لياقوت. وله بالعربية رسالة في (الأخلاق والفلسفة).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2026-05-01T20:44:09+03:00</dcterms:created>
  <dcterms:modified xsi:type="dcterms:W3CDTF">2026-05-01T20:44:09+03:00</dcterms:modified>
</cp:coreProperties>
</file>

<file path=docProps/custom.xml><?xml version="1.0" encoding="utf-8"?>
<Properties xmlns="http://schemas.openxmlformats.org/officeDocument/2006/custom-properties" xmlns:vt="http://schemas.openxmlformats.org/officeDocument/2006/docPropsVTypes"/>
</file>