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المهتار
</w:t>
      </w:r>
    </w:p>
    <w:p>
      <w:pPr>
        <w:jc w:val="start"/>
        <w:bidi/>
      </w:pPr>
      <w:r>
        <w:rPr>
          <w:rFonts w:ascii="arial" w:hAnsi="arial" w:eastAsia="arial" w:cs="arial"/>
          <w:sz w:val="28"/>
          <w:szCs w:val="28"/>
          <w:b w:val="1"/>
          <w:bCs w:val="1"/>
          <w:rtl/>
        </w:rPr>
        <w:t xml:space="preserve">ابن المهتار
</w:t>
      </w:r>
    </w:p>
    <w:p>
      <w:pPr/>
      <w:r>
        <w:rPr/>
        <w:t xml:space="preserve">ابن المهتار محمد بن يوسف بن محمد بن المهتار المصري العدل الجليل ناصر الدين أبو عبد الله ابن الشيخ مجد الدين المصري ثم الدمشقي الشافعي، سمع من ابن الصلاح والمرجى ابن شقيرة ومكي ابن علان وجماعة وأجاز له ظافر بن شحم وابن المقير وتفرد بأجزاء وكان نقيب قاضي القضاة إمام الدين القزويني، مولده سنة سبع وثلاثين وست مائة وتوفي سنة خمس عشرة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محمد
</w:t>
      </w:r>
    </w:p>
    <w:p>
      <w:pPr/>
      <w:r>
        <w:rPr/>
        <w:t xml:space="preserve">محمد بن يوسف بن محمد ابن المهتار المصري، العدل الجليل ناصر الدين أبو عبد الله بن الشيخ مجد الدين المصري ثم الدمشقي الشافعي.</w:t>
      </w:r>
    </w:p>
    <w:p/>
    <w:p>
      <w:pPr/>
      <w:r>
        <w:rPr/>
        <w:t xml:space="preserve">سمع من ابن الصلاح، والمرجى بن شقيرة، ومكي بن علان، وجماعة. وأجاز له ظافر بن شحم، وابن المقير. وتفرد بأجزاء.</w:t>
      </w:r>
    </w:p>
    <w:p/>
    <w:p>
      <w:pPr/>
      <w:r>
        <w:rPr/>
        <w:t xml:space="preserve">وكان نقيب قاضي القضاة إمام الدين القزويني.</w:t>
      </w:r>
    </w:p>
    <w:p/>
    <w:p>
      <w:pPr/>
      <w:r>
        <w:rPr/>
        <w:t xml:space="preserve">وتوفي - رحمه الله تعالى - في سادس عشري ذي الحجة سنة خمس عشرة وسبع مئة.</w:t>
      </w:r>
    </w:p>
    <w:p/>
    <w:p>
      <w:pPr/>
      <w:r>
        <w:rPr/>
        <w:t xml:space="preserve">ومولده سنة سبع وثلاثين وست مئة.</w:t>
      </w:r>
    </w:p>
    <w:p/>
    <w:p>
      <w:pPr/>
      <w:r>
        <w:rPr/>
        <w:t xml:space="preserve">قال شيخنا علم الدين البرزالي: قرأت عليه الآداب والاعتقاد للبيهقي وعلوم الحديث والطوالات للتنوخي، وقطعة من الأجزاء. وحدث بالزهد للإمام أحمد بكماله، وانفرد برواية علوم الحديث لابن الصلاح عن مصنفه مدة سنين، وبقطعة كبيرة من سنن البيهقي وبالطوالات للتنوخي.</w:t>
      </w:r>
    </w:p>
    <w:p/>
    <w:p>
      <w:pPr/>
      <w:r>
        <w:rPr/>
        <w:t xml:space="preserve">وأجاز له من دمشق السخاوي، وشيخ الشيوخ ابن حمويه، وابراهيم بن الخشوعي، وعبد الحق بن خلف وجماعة من الديار المصرية فخر القضاة ابن الحباب، وظافر بن شحم، وسبط السلفي، وابن رواج، وعلي بن زيد التسارسي، وعلم الدين بن الصابوني، وابن الجميزي، والسراج محمد بن يحيى بن ياقوت، وهبة الله بن محمد المقدسي، وهم من أصحاب السلفي.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المهتار
</w:t>
      </w:r>
    </w:p>
    <w:p>
      <w:pPr/>
      <w:r>
        <w:rPr/>
        <w:t xml:space="preserve">ابن المهتار ناصر الدين محمد بن يوسف.</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2026-07-03T16:32:07+03:00</dcterms:created>
  <dcterms:modified xsi:type="dcterms:W3CDTF">2026-07-03T16:32:07+03:00</dcterms:modified>
</cp:coreProperties>
</file>

<file path=docProps/custom.xml><?xml version="1.0" encoding="utf-8"?>
<Properties xmlns="http://schemas.openxmlformats.org/officeDocument/2006/custom-properties" xmlns:vt="http://schemas.openxmlformats.org/officeDocument/2006/docPropsVTypes"/>
</file>