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المنجم المغربي
</w:t>
      </w:r>
    </w:p>
    <w:p>
      <w:pPr>
        <w:jc w:val="start"/>
        <w:bidi/>
      </w:pPr>
      <w:r>
        <w:rPr>
          <w:rFonts w:ascii="arial" w:hAnsi="arial" w:eastAsia="arial" w:cs="arial"/>
          <w:sz w:val="28"/>
          <w:szCs w:val="28"/>
          <w:b w:val="1"/>
          <w:bCs w:val="1"/>
          <w:rtl/>
        </w:rPr>
        <w:t xml:space="preserve">المنجم المغربي
</w:t>
      </w:r>
    </w:p>
    <w:p>
      <w:pPr/>
      <w:r>
        <w:rPr/>
        <w:t xml:space="preserve">المنجم المغربي محمد بن يوسف المنجم، قال ابن رشيق: غلب عليه التنجيم، وأورد له قوله:</w:t>
      </w:r>
    </w:p>
    <w:p/>
    <w:p>
      <w:pPr>
        <w:jc w:val="center"/>
      </w:pPr>
      <w:r>
        <w:rPr>
          <w:color w:val="ff0000"/>
        </w:rPr>
        <w:t xml:space="preserve">لقد طبع الله الحسين بن عسكر</w:t>
      </w:r>
      <w:r>
        <w:rPr>
          <w:color w:val="ff0000"/>
        </w:rPr>
        <w:t xml:space="preserve">      </w:t>
      </w:r>
      <w:r>
        <w:rPr>
          <w:color w:val="ff0000"/>
        </w:rPr>
        <w:t xml:space="preserve">على الخلق الفضفاض والكرم المحض</w:t>
      </w:r>
    </w:p>
    <w:p/>
    <w:p>
      <w:pPr>
        <w:jc w:val="center"/>
      </w:pPr>
      <w:r>
        <w:rPr>
          <w:color w:val="ff0000"/>
        </w:rPr>
        <w:t xml:space="preserve">فتى الدهر متلاف لكل ذخيرة</w:t>
      </w:r>
      <w:r>
        <w:rPr>
          <w:color w:val="ff0000"/>
        </w:rPr>
        <w:t xml:space="preserve">      </w:t>
      </w:r>
      <w:r>
        <w:rPr>
          <w:color w:val="ff0000"/>
        </w:rPr>
        <w:t xml:space="preserve">سماحا وجودا سالم الدين والعرض</w:t>
      </w:r>
    </w:p>
    <w:p/>
    <w:p>
      <w:pPr/>
      <w:r>
        <w:rPr/>
        <w:t xml:space="preserve">وقوله:</w:t>
      </w:r>
    </w:p>
    <w:p/>
    <w:p>
      <w:pPr>
        <w:jc w:val="center"/>
      </w:pPr>
      <w:r>
        <w:rPr>
          <w:color w:val="ff0000"/>
        </w:rPr>
        <w:t xml:space="preserve">لعمري لئن كنا حليفي صناعة</w:t>
      </w:r>
      <w:r>
        <w:rPr>
          <w:color w:val="ff0000"/>
        </w:rPr>
        <w:t xml:space="preserve">      </w:t>
      </w:r>
      <w:r>
        <w:rPr>
          <w:color w:val="ff0000"/>
        </w:rPr>
        <w:t xml:space="preserve">لقد سبقت ريش الخوافي القوادم</w:t>
      </w:r>
    </w:p>
    <w:p/>
    <w:p>
      <w:pPr>
        <w:jc w:val="center"/>
      </w:pPr>
      <w:r>
        <w:rPr>
          <w:color w:val="ff0000"/>
        </w:rPr>
        <w:t xml:space="preserve">فقل للذي استهزا بنا في فعاله</w:t>
      </w:r>
      <w:r>
        <w:rPr>
          <w:color w:val="ff0000"/>
        </w:rPr>
        <w:t xml:space="preserve">      </w:t>
      </w:r>
      <w:r>
        <w:rPr>
          <w:color w:val="ff0000"/>
        </w:rPr>
        <w:t xml:space="preserve">مقالي يقظان وعرضك نائم</w:t>
      </w:r>
    </w:p>
    <w:p/>
    <w:p>
      <w:pPr>
        <w:jc w:val="center"/>
      </w:pPr>
      <w:r>
        <w:rPr>
          <w:color w:val="ff0000"/>
        </w:rPr>
        <w:t xml:space="preserve">سيغسل عني الماء فعلك كله</w:t>
      </w:r>
      <w:r>
        <w:rPr>
          <w:color w:val="ff0000"/>
        </w:rPr>
        <w:t xml:space="preserve">      </w:t>
      </w:r>
      <w:r>
        <w:rPr>
          <w:color w:val="ff0000"/>
        </w:rPr>
        <w:t xml:space="preserve">وقولي باق والعظام رمائم</w:t>
      </w:r>
    </w:p>
    <w:p/>
    <w:p>
      <w:pPr>
        <w:jc w:val="center"/>
      </w:pPr>
      <w:r>
        <w:rPr>
          <w:color w:val="ff0000"/>
        </w:rPr>
        <w:t xml:space="preserve">تدب على الأعضاء منه عقارب</w:t>
      </w:r>
      <w:r>
        <w:rPr>
          <w:color w:val="ff0000"/>
        </w:rPr>
        <w:t xml:space="preserve">      </w:t>
      </w:r>
      <w:r>
        <w:rPr>
          <w:color w:val="ff0000"/>
        </w:rPr>
        <w:t xml:space="preserve">وتنفث في الأحشاء منه أراقم</w:t>
      </w:r>
    </w:p>
    <w:p/>
    <w:p>
      <w:pPr>
        <w:jc w:val="center"/>
      </w:pPr>
      <w:r>
        <w:rPr>
          <w:color w:val="ff0000"/>
        </w:rPr>
        <w:t xml:space="preserve">فإن كان ذا عرض تلوح كلومه</w:t>
      </w:r>
      <w:r>
        <w:rPr>
          <w:color w:val="ff0000"/>
        </w:rPr>
        <w:t xml:space="preserve">      </w:t>
      </w:r>
      <w:r>
        <w:rPr>
          <w:color w:val="ff0000"/>
        </w:rPr>
        <w:t xml:space="preserve">فعندي ضمادات له ومراهم</w:t>
      </w:r>
    </w:p>
    <w:p/>
    <w:p>
      <w:pPr/>
      <w:r>
        <w:rPr/>
        <w:t xml:space="preserve">قلت: هذا يشبه ما جرى ليزيد بن مفرغ لما هجا عبيد الله بن زياد وأمكنه الله منه ولم يمكنه يزيد بن معاوية من قتله ومكنه من عقوبته فسقاه نبيذا حلوا جعل فيه مسهلا فأسهل بطنه وطيف به وهو على تلك الحال وقرن معه هرة وخنزير فجعل يسلح والصبيان يتبعونه ويصيحون به وألح عليه ما يخرج منه حتى أضعفه وسقط فقيل لعبيد الله: لا نأمن أن يموت، فأمر به أن يغسل فلما اغتسل قال:</w:t>
      </w:r>
    </w:p>
    <w:p/>
    <w:p>
      <w:pPr>
        <w:jc w:val="center"/>
      </w:pPr>
      <w:r>
        <w:rPr>
          <w:color w:val="ff0000"/>
        </w:rPr>
        <w:t xml:space="preserve">يغسل الماء ما فعلت وقولي</w:t>
      </w:r>
      <w:r>
        <w:rPr>
          <w:color w:val="ff0000"/>
        </w:rPr>
        <w:t xml:space="preserve">      </w:t>
      </w:r>
      <w:r>
        <w:rPr>
          <w:color w:val="ff0000"/>
        </w:rPr>
        <w:t xml:space="preserve">راسخ منك في العظام البوالي</w:t>
      </w:r>
    </w:p>
    <w:p/>
    <w:p>
      <w:pPr/>
      <w:r>
        <w:rPr/>
        <w:t xml:space="preserve">محمد بن يوسف بن علي بن أبي منصور الهمذاني أبو شجاع الفقيه الشافعي، سكن بغداذ وأقام بالمدرسة النظامية وسمع ببغداذ أبا بكر محمد بن عبد الباقي الأنصاري وأبا القاسم زاهر بن طاهر الشحامي وغيرهما وحدث باليسير.</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المنجم المغربي
</w:t>
      </w:r>
    </w:p>
    <w:p>
      <w:pPr/>
      <w:r>
        <w:rPr/>
        <w:t xml:space="preserve">المنجم المغربي محمد بن يوسف. منجوتكين: ويقال: بنجوتكين. التركي.</w:t>
      </w:r>
    </w:p>
    <w:p/>
    <w:p>
      <w:pPr/>
      <w:r>
        <w:rPr/>
        <w:t xml:space="preserve">ولاه العزيز أمرة الجيوش الشامية فقدم دمشق في سنة إحدى وثمانين وثلاثمائة بعد منير الخادم، وامتدت ولايته إلى شوال سنة ست وثمانين وثلاثمائة.</w:t>
      </w:r>
    </w:p>
    <w:p/>
    <w:p>
      <w:pPr/>
      <w:r>
        <w:rPr/>
        <w:t xml:space="preserve">جده: علي بن جعفر بن فلاح.</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2026-07-03T16:32:33+03:00</dcterms:created>
  <dcterms:modified xsi:type="dcterms:W3CDTF">2026-07-03T16:32:33+03:00</dcterms:modified>
</cp:coreProperties>
</file>

<file path=docProps/custom.xml><?xml version="1.0" encoding="utf-8"?>
<Properties xmlns="http://schemas.openxmlformats.org/officeDocument/2006/custom-properties" xmlns:vt="http://schemas.openxmlformats.org/officeDocument/2006/docPropsVTypes"/>
</file>