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الفويرة الحنفي
</w:t>
      </w:r>
    </w:p>
    <w:p>
      <w:pPr>
        <w:jc w:val="start"/>
        <w:bidi/>
      </w:pPr>
      <w:r>
        <w:rPr>
          <w:rFonts w:ascii="arial" w:hAnsi="arial" w:eastAsia="arial" w:cs="arial"/>
          <w:sz w:val="28"/>
          <w:szCs w:val="28"/>
          <w:b w:val="1"/>
          <w:bCs w:val="1"/>
          <w:rtl/>
        </w:rPr>
        <w:t xml:space="preserve">ابن الفويرة الحنفي
</w:t>
      </w:r>
    </w:p>
    <w:p>
      <w:pPr/>
      <w:r>
        <w:rPr/>
        <w:t xml:space="preserve">ابن الفويرة الحنفي محمد بن يحيى الشيخ الإمام المفتي بدر الدين ابن الفويرة الحنفي، كان قد اشتغل اشتغالا كثيرا وهو رفيق القاضي فخر الدين المصري في الاشتغال، تفنن في العلوم وشارك في الفنون، وتوفي رحمه الله كهلا سنة خمس وثلاثين وسبع مائة، حضرت حلقة أشغاله بالجامع الأموي عند شباك الكاملية بالحائط الشمالي وأوردت عليه في لفظه طهور وأن هذه الصيغة للمبالغة في تكرار الفعل من الفاعل على ما تقدم من سؤالي نظما في ترجمة أبي الفتح محمد بن عبد اللطيف السبكي فأعجبه ذلك إعجابا كثيرا وزهزه له، ولم تكن إقامة الوزن في طباعه رحمه الله تعالى فإنه كان ينشد على ماحكاه لي عنه القاضي شهاب الدين أحمد بن فضل الله معاوي إننا بشر فأسجحي بإثبات الياء بعد الحاء.</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2026-07-03T17:31:24+03:00</dcterms:created>
  <dcterms:modified xsi:type="dcterms:W3CDTF">2026-07-03T17:31:24+03:00</dcterms:modified>
</cp:coreProperties>
</file>

<file path=docProps/custom.xml><?xml version="1.0" encoding="utf-8"?>
<Properties xmlns="http://schemas.openxmlformats.org/officeDocument/2006/custom-properties" xmlns:vt="http://schemas.openxmlformats.org/officeDocument/2006/docPropsVTypes"/>
</file>