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مواهب البرداني
</w:t>
      </w:r>
    </w:p>
    <w:p>
      <w:pPr>
        <w:jc w:val="start"/>
        <w:bidi/>
      </w:pPr>
      <w:r>
        <w:rPr>
          <w:rFonts w:ascii="arial" w:hAnsi="arial" w:eastAsia="arial" w:cs="arial"/>
          <w:sz w:val="28"/>
          <w:szCs w:val="28"/>
          <w:b w:val="1"/>
          <w:bCs w:val="1"/>
          <w:rtl/>
        </w:rPr>
        <w:t xml:space="preserve">ابن مواهب البرداني
</w:t>
      </w:r>
    </w:p>
    <w:p>
      <w:pPr/>
      <w:r>
        <w:rPr/>
        <w:t xml:space="preserve">ابن مواهب البرداني محمد بن يحيى بن محمد بن مواهب بن إسرائيل بن عقيل أبو الفتح البرداني البغداذي، سمع الشريفين أبا علي محمد بن محمد بن عبد العزيز بن المهدي وأبا الغنائم محمد بن محمد بن المهتدي بالله وأبا علي محمد بن سعيد بن نبهان الكاتب وغيرهم، وحدث بالكثير، روى عنه أبو الفتوح نصر بن علي بن الخضر بن الحافظ، وكان شيخا صالحا حافظا لكتاب الله كثير العبادة يقوم الليل إلا أنه لعب به الصبيان وقالوا له: لو ادعيت سماع المقامات لكان يحصل لك بروايتها من المحتشمين شيء كثير، وحسنوا له ذلك وادعى سماعها، قال أبو الفتوح: فنهيته عن ذلك فصار يدعو علي في المجالس ويقول: فلان حرمني كذا وكذا من المال فالله بيني وبينه، ولا أدري أحدث بها أم لا، توفي سنة تسع وتسعين وأربع مائة ودفن بباب حرب.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2026-07-03T17:31:25+03:00</dcterms:created>
  <dcterms:modified xsi:type="dcterms:W3CDTF">2026-07-03T17:31:25+03:00</dcterms:modified>
</cp:coreProperties>
</file>

<file path=docProps/custom.xml><?xml version="1.0" encoding="utf-8"?>
<Properties xmlns="http://schemas.openxmlformats.org/officeDocument/2006/custom-properties" xmlns:vt="http://schemas.openxmlformats.org/officeDocument/2006/docPropsVTypes"/>
</file>