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ابن فضلان
</w:t>
      </w:r>
    </w:p>
    <w:p>
      <w:pPr>
        <w:jc w:val="start"/>
        <w:bidi/>
      </w:pPr>
      <w:r>
        <w:rPr>
          <w:rFonts w:ascii="arial" w:hAnsi="arial" w:eastAsia="arial" w:cs="arial"/>
          <w:sz w:val="28"/>
          <w:szCs w:val="28"/>
          <w:b w:val="1"/>
          <w:bCs w:val="1"/>
          <w:rtl/>
        </w:rPr>
        <w:t xml:space="preserve">القاضي ابن فضلان
</w:t>
      </w:r>
    </w:p>
    <w:p>
      <w:pPr/>
      <w:r>
        <w:rPr/>
        <w:t xml:space="preserve">القاضي ابن فضلان محمد بن يحيى بن علي بن الفضل بن هبة الله قاضي القضاة محيي الدين أبو عبد الله بن فضلان -بالفاء والضاد المعجمة على وزن سلمان- البغداذي الشافعي مدرس المستنصرية، ولي القضاء للإمام الناصر آخر دولته، تفقه على والده وبرع في المذهب ورحل إلى خراسان وناظر علماءها، وكان علامة في المذهب والأصول والخلاف والمنطق سمحا جوادا لا يدخر شيئا وكان قوالا، ازدحموا على نعشه لما مات سنة إحدى وثلاثين وست مائة، كتب إلى الناصر في مضاعفة الجزية على أهل الذمة وقال: يجوز أخذها منهم فوق الدينار إلى المائة حسب امتداد اليد عليهم، وعزله الظاهر بعد شهرين من ولايته ثم ولي النظر على البيمارستان وعزل بعد ستة أشهر وولي نظر الجوالي ثم ولي تدريس مدرسة أم الناصر وتولى تدريس المستنصرية وتوجه رسولا إلى الروم، وسيأتي ذكر والده في حرف الياء.</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2026-07-03T18:22:43+03:00</dcterms:created>
  <dcterms:modified xsi:type="dcterms:W3CDTF">2026-07-03T18:22:43+03:00</dcterms:modified>
</cp:coreProperties>
</file>

<file path=docProps/custom.xml><?xml version="1.0" encoding="utf-8"?>
<Properties xmlns="http://schemas.openxmlformats.org/officeDocument/2006/custom-properties" xmlns:vt="http://schemas.openxmlformats.org/officeDocument/2006/docPropsVTypes"/>
</file>