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اليمني الواعظ
</w:t>
      </w:r>
    </w:p>
    <w:p>
      <w:pPr>
        <w:jc w:val="start"/>
        <w:bidi/>
      </w:pPr>
      <w:r>
        <w:rPr>
          <w:rFonts w:ascii="arial" w:hAnsi="arial" w:eastAsia="arial" w:cs="arial"/>
          <w:sz w:val="28"/>
          <w:szCs w:val="28"/>
          <w:b w:val="1"/>
          <w:bCs w:val="1"/>
          <w:rtl/>
        </w:rPr>
        <w:t xml:space="preserve">اليمني الواعظ
</w:t>
      </w:r>
    </w:p>
    <w:p>
      <w:pPr/>
      <w:r>
        <w:rPr/>
        <w:t xml:space="preserve">اليمني الواعظ محمد بن يحيى بن علي بن مسلم بن موسى بن عمران القرشي اليمني الزبيدي الحنفي الواعظ، قدم دمشق وكان له معرفة بالنحو والأدب، قيل إنه كان يميل إلى مذهب السالمية ويقول: إن الأموات يأكلون ويشربون وينكحون في قبورهم والشارب والزاني والسارق لا يلام على فعله لأن ذلك بقضاء الله وقدره، توفي سنة خمس وخمسين وخمس مائة وله منار الاقتضاء ومنهاج الاقتفاء والرد على ابن الخشاب وكتاب القوافي تعليل من قرأ: ونحن عصبة بالنصب والحساب وغير ذلك.</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2026-07-03T18:16:47+03:00</dcterms:created>
  <dcterms:modified xsi:type="dcterms:W3CDTF">2026-07-03T18:16:47+03:00</dcterms:modified>
</cp:coreProperties>
</file>

<file path=docProps/custom.xml><?xml version="1.0" encoding="utf-8"?>
<Properties xmlns="http://schemas.openxmlformats.org/officeDocument/2006/custom-properties" xmlns:vt="http://schemas.openxmlformats.org/officeDocument/2006/docPropsVTypes"/>
</file>