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الغزنوي
</w:t>
      </w:r>
    </w:p>
    <w:p>
      <w:pPr>
        <w:jc w:val="start"/>
        <w:bidi/>
      </w:pPr>
      <w:r>
        <w:rPr>
          <w:rFonts w:ascii="arial" w:hAnsi="arial" w:eastAsia="arial" w:cs="arial"/>
          <w:sz w:val="28"/>
          <w:szCs w:val="28"/>
          <w:b w:val="1"/>
          <w:bCs w:val="1"/>
          <w:rtl/>
        </w:rPr>
        <w:t xml:space="preserve">الواعظ الغزنوي
</w:t>
      </w:r>
    </w:p>
    <w:p>
      <w:pPr/>
      <w:r>
        <w:rPr/>
        <w:t xml:space="preserve">الواعظ الغزنوي محمد بن نصر بن محمد بن المؤيد أبو بكر بن أبي الفتوح الحدادي الواعظ من أهل غزنة، قدم بغداذ مع والده لما قدم رسولا من السلطان شهاب الدين محمد بن سام ملك الهند وغزنة وأقام مدة وسمع الحديث من جماعة وحصل الأصول، قال محب الدين ابن النجار: وكان شابا حسنا وفقيها متأدبا حسن الأخلاق متوددا، علقت عنه حديثا أو حديثين في المذاكرة وأظنه كان ابن ثلاثين سنة أو نحوها.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2026-07-03T20:56:14+03:00</dcterms:created>
  <dcterms:modified xsi:type="dcterms:W3CDTF">2026-07-03T20:56:14+03:00</dcterms:modified>
</cp:coreProperties>
</file>

<file path=docProps/custom.xml><?xml version="1.0" encoding="utf-8"?>
<Properties xmlns="http://schemas.openxmlformats.org/officeDocument/2006/custom-properties" xmlns:vt="http://schemas.openxmlformats.org/officeDocument/2006/docPropsVTypes"/>
</file>