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علجة
</w:t>
      </w:r>
    </w:p>
    <w:p>
      <w:pPr>
        <w:jc w:val="start"/>
        <w:bidi/>
      </w:pPr>
      <w:r>
        <w:rPr>
          <w:rFonts w:ascii="arial" w:hAnsi="arial" w:eastAsia="arial" w:cs="arial"/>
          <w:sz w:val="28"/>
          <w:szCs w:val="28"/>
          <w:b w:val="1"/>
          <w:bCs w:val="1"/>
          <w:rtl/>
        </w:rPr>
        <w:t xml:space="preserve">الوزير علجة
</w:t>
      </w:r>
    </w:p>
    <w:p>
      <w:pPr/>
      <w:r>
        <w:rPr/>
        <w:t xml:space="preserve">الوزير علجة محمد بن ناصر بن منصور بن أحمد بن عبد الله بن عمر أبو الفضائل المعروف بعلجة الأصبهاني، كان من الأعيان قدم بغداذ قديما وتولى بها العمارة قديما ثم ولي الوزارة للخاتون بنت السلطان محمد زوج الإمام المقتفي وأقام ببغداذ إلى حين وفاته وحدث بها فروى عنه أبو بكر بن كامل الخفاف، توفي سنة أربع وثلاثين وخمس مائة ببغداذ.</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2026-07-03T21:55:14+03:00</dcterms:created>
  <dcterms:modified xsi:type="dcterms:W3CDTF">2026-07-03T21:55:14+03:00</dcterms:modified>
</cp:coreProperties>
</file>

<file path=docProps/custom.xml><?xml version="1.0" encoding="utf-8"?>
<Properties xmlns="http://schemas.openxmlformats.org/officeDocument/2006/custom-properties" xmlns:vt="http://schemas.openxmlformats.org/officeDocument/2006/docPropsVTypes"/>
</file>