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الحنفي
</w:t>
      </w:r>
    </w:p>
    <w:p>
      <w:pPr>
        <w:jc w:val="start"/>
        <w:bidi/>
      </w:pPr>
      <w:r>
        <w:rPr>
          <w:rFonts w:ascii="arial" w:hAnsi="arial" w:eastAsia="arial" w:cs="arial"/>
          <w:sz w:val="28"/>
          <w:szCs w:val="28"/>
          <w:b w:val="1"/>
          <w:bCs w:val="1"/>
          <w:rtl/>
        </w:rPr>
        <w:t xml:space="preserve">أبو بكر الحنفي
</w:t>
      </w:r>
    </w:p>
    <w:p>
      <w:pPr/>
      <w:r>
        <w:rPr/>
        <w:t xml:space="preserve">أبو بكر الحنفي محمد بن موسى بن محمد أبو بكر الخوارزمي، إمام الحنفية انتهت إليه رياستهم وكان معظما عند الخلفاء والملوك ومن تلامذته الشريف الرضي والقاضي الصيمري، قال أبو بكر البرقاني: سمعته يقول: ديننا دين العجائز ولسنا من الكلام في شيء، وكان له إمام حنبلي وما شهد الناس مثله في حسن الفتوى والإصابة فيها، دعي مرارا إلى الحكم فامتنع، وتوفي سنة ثلاث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الخوارزمي
</w:t>
      </w:r>
    </w:p>
    <w:p>
      <w:pPr/>
      <w:r>
        <w:rPr/>
        <w:t xml:space="preserve">الخوارزمي المفتي العلامة، شيخ الحنفية، أبو بكر، محمد بن موسى، الخوارزمي، ثم البغدادي، تلميذ أبي بكر أحمد بن علي الرازي.</w:t>
      </w:r>
    </w:p>
    <w:p/>
    <w:p>
      <w:pPr/>
      <w:r>
        <w:rPr/>
        <w:t xml:space="preserve">سمع: من أبي بكر الشافعي وغيره، وهو قليل الرواية.</w:t>
      </w:r>
    </w:p>
    <w:p/>
    <w:p>
      <w:pPr/>
      <w:r>
        <w:rPr/>
        <w:t xml:space="preserve">حدث عنه البرقاني، وقال: سمع: ته يقول: ديننا دين العجائز، لسنا من الكلام في شيء. وكان له إمام حنبلي يصلي به.</w:t>
      </w:r>
    </w:p>
    <w:p/>
    <w:p>
      <w:pPr/>
      <w:r>
        <w:rPr/>
        <w:t xml:space="preserve">قال القاضي أبو عبد الله الصيمري: ثم صار إمام أصحاب أبي حنيفة ومفتيهم شيخنا أبو بكر الخوارزمي، وما شاهد الناس مثله في حسن الفتوى وحسن التدريس، وقد دعي إلى القضاء مرارا، فامتنع، رحمه الله.</w:t>
      </w:r>
    </w:p>
    <w:p/>
    <w:p>
      <w:pPr/>
      <w:r>
        <w:rPr/>
        <w:t xml:space="preserve">قلت: توفي في جمادى الأولى سنة ثلاث وأربع مائة، تخرج به فقهاء بغداد.</w:t>
      </w:r>
    </w:p>
    <w:p>
      <w:pPr>
        <w:jc w:val="start"/>
        <w:bidi/>
      </w:pPr>
      <w:r>
        <w:rPr>
          <w:sz w:val="24"/>
          <w:szCs w:val="24"/>
          <w:b w:val="1"/>
          <w:bCs w:val="1"/>
          <w:rtl/>
        </w:rPr>
        <w:t xml:space="preserve">
سير أعلام النبلاء،(دار الحديث- القاهرة،2006،ط 0،ج 13،ص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الخوارزمي
</w:t>
      </w:r>
    </w:p>
    <w:p>
      <w:pPr/>
      <w:r>
        <w:rPr/>
        <w:t xml:space="preserve">محمد بن موسى الخوارزمي فقيه بغداد، مات سنة ثلاث وأربعمائة. تفقه بأبي بكر الرازي، وعنه أخذ القاضي أبو عبد الله الصيمري، وكان حسن الفتوى.</w:t>
      </w:r>
    </w:p>
    <w:p>
      <w:pPr>
        <w:jc w:val="start"/>
        <w:bidi/>
      </w:pPr>
      <w:r>
        <w:rPr>
          <w:sz w:val="24"/>
          <w:szCs w:val="24"/>
          <w:b w:val="1"/>
          <w:bCs w:val="1"/>
          <w:rtl/>
        </w:rPr>
        <w:t xml:space="preserve">
طبقات الفقهاء / للشيرازي،(دار الرائد العربي - بيروت،1970،ط 1،ج 1،ص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2026-07-03T21:55:38+03:00</dcterms:created>
  <dcterms:modified xsi:type="dcterms:W3CDTF">2026-07-03T21:55:38+03:00</dcterms:modified>
</cp:coreProperties>
</file>

<file path=docProps/custom.xml><?xml version="1.0" encoding="utf-8"?>
<Properties xmlns="http://schemas.openxmlformats.org/officeDocument/2006/custom-properties" xmlns:vt="http://schemas.openxmlformats.org/officeDocument/2006/docPropsVTypes"/>
</file>