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البلاساغوني القاضي الحنفي
</w:t>
      </w:r>
    </w:p>
    <w:p>
      <w:pPr>
        <w:jc w:val="start"/>
        <w:bidi/>
      </w:pPr>
      <w:r>
        <w:rPr>
          <w:rFonts w:ascii="arial" w:hAnsi="arial" w:eastAsia="arial" w:cs="arial"/>
          <w:sz w:val="28"/>
          <w:szCs w:val="28"/>
          <w:b w:val="1"/>
          <w:bCs w:val="1"/>
          <w:rtl/>
        </w:rPr>
        <w:t xml:space="preserve">البلاساغوني القاضي الحنفي
</w:t>
      </w:r>
    </w:p>
    <w:p>
      <w:pPr/>
      <w:r>
        <w:rPr/>
        <w:t xml:space="preserve">البلاساغوني القاضي الحنفي محمد بن موسى بن عبد الله القاضي أبو عبد الله التركي البلاساغوني الحنفي، سمع من الدامغاني ومن أبي الفضل ابن خيرون ونزل دمشق وولي قضاء القدس ودمشق، وعزم على نصب إمام حنفي بجامع دمشق من محبته في مذهبه وعين إماما فامتنع الناس من الصلاة خلفه وصلوا بأجمعهم في دار الخيل وهي القيسارية التي قبل المدرسة الأمينية، وهو الذي رتب الإقامة في الجامع مثنى مثنى فبقيت إلى أن أزيلت زمن صلاح الدين سنة سبعين، قال ابن عساكر: سمعت الحسين بن قبيس يذمه ويذكر أنه كان يقول: لو كان لي أمر لأخذت من الشافعية الجزية، وكان مبغضا للمالكية أيضا، توفي سنة ست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2026-07-03T21:59:49+03:00</dcterms:created>
  <dcterms:modified xsi:type="dcterms:W3CDTF">2026-07-03T21:59:49+03:00</dcterms:modified>
</cp:coreProperties>
</file>

<file path=docProps/custom.xml><?xml version="1.0" encoding="utf-8"?>
<Properties xmlns="http://schemas.openxmlformats.org/officeDocument/2006/custom-properties" xmlns:vt="http://schemas.openxmlformats.org/officeDocument/2006/docPropsVTypes"/>
</file>