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الفطري
</w:t>
      </w:r>
    </w:p>
    <w:p>
      <w:pPr/>
      <w:r>
        <w:rPr/>
        <w:t xml:space="preserve">الفطري محمد بن موسى الفطري المدني مولى الفطريين، وثقه الترمذي وقال أبو حاتم: صدوق يتشيع، روى له الجماعة خلا البخاري، توفي سنة ثمان ومائتين أو ما دونها.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الفطري
</w:t>
      </w:r>
    </w:p>
    <w:p>
      <w:pPr/>
      <w:r>
        <w:rPr/>
        <w:t xml:space="preserve">الفطري: محمد بن موسى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600)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الفطري محمد بن موسى
</w:t>
      </w:r>
    </w:p>
    <w:p>
      <w:pPr/>
      <w:r>
        <w:rPr/>
        <w:t xml:space="preserve">الفطري محمد بن موسى </w:t>
      </w:r>
    </w:p>
    <w:p/>
    <w:p>
      <w:pPr/>
      <w:r>
        <w:rPr/>
        <w:t xml:space="preserve">الفطري محمد بن موسى 5175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2026-07-03T22:54:43+03:00</dcterms:created>
  <dcterms:modified xsi:type="dcterms:W3CDTF">2026-07-03T22:54:43+03:00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