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القطان البغداذي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القطان البغداذي
</w:t>
      </w:r>
    </w:p>
    <w:p>
      <w:pPr/>
      <w:r>
        <w:rPr/>
        <w:t xml:space="preserve">ابن القطان البغداذي محمد بن منصور بن علي أبو طاهر البغداذي الشاعر الأديب المعروف بالقطان صاحب رسالة التبيين في أصول الدين، توفي سنة ثلاث عشرة وأربع مائة، ومن شعره:</w:t>
      </w:r>
    </w:p>
    <w:p/>
    <w:p>
      <w:pPr>
        <w:jc w:val="center"/>
      </w:pPr>
      <w:r>
        <w:rPr>
          <w:color w:val="ff0000"/>
        </w:rPr>
        <w:t xml:space="preserve">من منصفي من عاذلي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ومنقذي من قاتلي</w:t>
      </w:r>
    </w:p>
    <w:p/>
    <w:p>
      <w:pPr>
        <w:jc w:val="center"/>
      </w:pPr>
      <w:r>
        <w:rPr>
          <w:color w:val="ff0000"/>
        </w:rPr>
        <w:t xml:space="preserve">ومن مجيري في الهوى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 أسهم قواتلي</w:t>
      </w:r>
    </w:p>
    <w:p/>
    <w:p>
      <w:pPr>
        <w:jc w:val="center"/>
      </w:pPr>
      <w:r>
        <w:rPr>
          <w:color w:val="ff0000"/>
        </w:rPr>
        <w:t xml:space="preserve">لا تأمرني بالعزا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بعد الحبيب الراحل</w:t>
      </w:r>
    </w:p>
    <w:p/>
    <w:p>
      <w:pPr>
        <w:jc w:val="center"/>
      </w:pPr>
      <w:r>
        <w:rPr>
          <w:color w:val="ff0000"/>
        </w:rPr>
        <w:t xml:space="preserve">ولا تلومني على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إسبال دمع هاتل</w:t>
      </w:r>
    </w:p>
    <w:p/>
    <w:p>
      <w:pPr>
        <w:jc w:val="center"/>
      </w:pPr>
      <w:r>
        <w:rPr>
          <w:color w:val="ff0000"/>
        </w:rPr>
        <w:t xml:space="preserve">فإنني في حيرة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عنك وشغل شاغل</w:t>
      </w:r>
    </w:p>
    <w:p/>
    <w:p>
      <w:pPr>
        <w:jc w:val="center"/>
      </w:pPr>
      <w:r>
        <w:rPr>
          <w:color w:val="ff0000"/>
        </w:rPr>
        <w:t xml:space="preserve">سقيا لأيام الصبا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وللحبيب الزائل</w:t>
      </w:r>
    </w:p>
    <w:p/>
    <w:p>
      <w:pPr>
        <w:jc w:val="center"/>
      </w:pPr>
      <w:r>
        <w:rPr>
          <w:color w:val="ff0000"/>
        </w:rPr>
        <w:t xml:space="preserve">ما ضر من قاطعني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لو أنه مواصلي</w:t>
      </w:r>
    </w:p>
    <w:p/>
    <w:p>
      <w:pPr>
        <w:jc w:val="center"/>
      </w:pPr>
      <w:r>
        <w:rPr>
          <w:color w:val="ff0000"/>
        </w:rPr>
        <w:t xml:space="preserve">ظبي أصاب سهمه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لما رمى مقاتلي</w:t>
      </w:r>
    </w:p>
    <w:p/>
    <w:p>
      <w:pPr/>
      <w:r>
        <w:rPr/>
        <w:t xml:space="preserve">ومن شعره:</w:t>
      </w:r>
    </w:p>
    <w:p/>
    <w:p>
      <w:pPr>
        <w:jc w:val="center"/>
      </w:pPr>
      <w:r>
        <w:rPr>
          <w:color w:val="ff0000"/>
        </w:rPr>
        <w:t xml:space="preserve">لا تأمن الأيام والدهر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فللأيام والدهر دول</w:t>
      </w:r>
    </w:p>
    <w:p/>
    <w:p>
      <w:pPr>
        <w:jc w:val="center"/>
      </w:pPr>
      <w:r>
        <w:rPr>
          <w:color w:val="ff0000"/>
        </w:rPr>
        <w:t xml:space="preserve">كالمرء في أحواله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مقلب بين الأماني والأمل</w:t>
      </w:r>
    </w:p>
    <w:p/>
    <w:p>
      <w:pPr/>
      <w:r>
        <w:rPr/>
        <w:t xml:space="preserve">قلت: شعر أشبه شيء بالجسم الذي لا روح فيه. كان موجودا في سنة ثلاث عشرة وأربع مائة، قال ابن النجار: وتوفي بعدها بقليل، وكان يمدح الصحابة وله خطب جياد وخط حسن.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2026-07-03T22:59:16+03:00</dcterms:created>
  <dcterms:modified xsi:type="dcterms:W3CDTF">2026-07-03T22:59:16+03:00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