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المقرئ التكريتي
</w:t>
      </w:r>
    </w:p>
    <w:p>
      <w:pPr>
        <w:jc w:val="start"/>
        <w:bidi/>
      </w:pPr>
      <w:r>
        <w:rPr>
          <w:rFonts w:ascii="arial" w:hAnsi="arial" w:eastAsia="arial" w:cs="arial"/>
          <w:sz w:val="28"/>
          <w:szCs w:val="28"/>
          <w:b w:val="1"/>
          <w:bCs w:val="1"/>
          <w:rtl/>
        </w:rPr>
        <w:t xml:space="preserve">المقرئ التكريتي
</w:t>
      </w:r>
    </w:p>
    <w:p>
      <w:pPr/>
      <w:r>
        <w:rPr/>
        <w:t xml:space="preserve">المقرئ التكريتي محمد بن مفلح بن علي أبو عبد الله المقرئ التكريتي، سمع بتكريت أبا الفرح منصور بن الحسن بن علي البجلي قاضي البوازيج وحدث عنه ببغداذ واستوطنها إلى حين وفاته، وكان أحد قراء الديوان في المواكب والمجالس، سمع منه أبو عبد الله محمد بن الحسين بن القاسم التكريتي الصوفي، توفي سنة ثلاث وأربعين وخمس مائة ودفن بباب أبرز.</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2026-07-04T00:05:14+03:00</dcterms:created>
  <dcterms:modified xsi:type="dcterms:W3CDTF">2026-07-04T00:05:14+03:00</dcterms:modified>
</cp:coreProperties>
</file>

<file path=docProps/custom.xml><?xml version="1.0" encoding="utf-8"?>
<Properties xmlns="http://schemas.openxmlformats.org/officeDocument/2006/custom-properties" xmlns:vt="http://schemas.openxmlformats.org/officeDocument/2006/docPropsVTypes"/>
</file>