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غنيمة الحلاوي الحنبلي
</w:t>
      </w:r>
    </w:p>
    <w:p>
      <w:pPr>
        <w:jc w:val="start"/>
        <w:bidi/>
      </w:pPr>
      <w:r>
        <w:rPr>
          <w:rFonts w:ascii="arial" w:hAnsi="arial" w:eastAsia="arial" w:cs="arial"/>
          <w:sz w:val="28"/>
          <w:szCs w:val="28"/>
          <w:b w:val="1"/>
          <w:bCs w:val="1"/>
          <w:rtl/>
        </w:rPr>
        <w:t xml:space="preserve">ابن غنيمة الحلاوي الحنبلي
</w:t>
      </w:r>
    </w:p>
    <w:p>
      <w:pPr/>
      <w:r>
        <w:rPr/>
        <w:t xml:space="preserve">ابن غنيمة الحلاوي الحنبلي محمد بن معالي بن غنيمة الحلاوي أبو بكر الفقيه الحنبلي، قرأ الفقه على أبي الفتح ابن المني حتى برع، وكان منقطعا في مسجده منعكفا على الاشتغال بالعلم والفتيا والإمامة بالناس لا يخرج إلا لصلاة الجمعة أو حضور جنازة، سمع الكثير في صباه من أبي الفضل محمد بن ناصر الحافظ وأبي بكر محمد بن عبيد الله الزاغوني وأبي الفتح عبد الملك بن أبي القاسم الكروخي وأبي القاسم سعيد بن أحمد بن الحسن بن البناء، توفي سنة إحدى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2026-07-04T00:55:42+03:00</dcterms:created>
  <dcterms:modified xsi:type="dcterms:W3CDTF">2026-07-04T00:55:42+03:00</dcterms:modified>
</cp:coreProperties>
</file>

<file path=docProps/custom.xml><?xml version="1.0" encoding="utf-8"?>
<Properties xmlns="http://schemas.openxmlformats.org/officeDocument/2006/custom-properties" xmlns:vt="http://schemas.openxmlformats.org/officeDocument/2006/docPropsVTypes"/>
</file>