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قاضي بغداذ أبو بكر الحموي الشافعي
</w:t>
      </w:r>
    </w:p>
    <w:p>
      <w:pPr>
        <w:jc w:val="start"/>
        <w:bidi/>
      </w:pPr>
      <w:r>
        <w:rPr>
          <w:rFonts w:ascii="arial" w:hAnsi="arial" w:eastAsia="arial" w:cs="arial"/>
          <w:sz w:val="28"/>
          <w:szCs w:val="28"/>
          <w:b w:val="1"/>
          <w:bCs w:val="1"/>
          <w:rtl/>
        </w:rPr>
        <w:t xml:space="preserve">قاضي بغداذ أبو بكر الحموي الشافعي
</w:t>
      </w:r>
    </w:p>
    <w:p>
      <w:pPr/>
      <w:r>
        <w:rPr/>
        <w:t xml:space="preserve">قاضي بغداذ أبو بكر الحموي الشافعي محمد بن المظفر بن بكر -قال ابن النجار: ابن بكران- بن عبد الصمد العلامة قاضي القضاة أبو بكر الشامي الحموي الفقيه الشافعي، ولد بحماة سنة أربع مائة ورحل إلى بغداذ شابا فسكنها وتفقه بها إلى أن ولي قضاء القضاة بعد موت الدامغاني، تفقه على أبي الطيب الطبري وكان يحفظ تعليقته، صنف كتاب البيان عن أصول الدين، توفي سنة ثمان وثمانين وأربع مائة، طول ابن النجار ترجمته وأثنى عليه ثناء كثيرا.</w:t>
      </w:r>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2026-07-04T00:57:21+03:00</dcterms:created>
  <dcterms:modified xsi:type="dcterms:W3CDTF">2026-07-04T00:57:21+03:00</dcterms:modified>
</cp:coreProperties>
</file>

<file path=docProps/custom.xml><?xml version="1.0" encoding="utf-8"?>
<Properties xmlns="http://schemas.openxmlformats.org/officeDocument/2006/custom-properties" xmlns:vt="http://schemas.openxmlformats.org/officeDocument/2006/docPropsVTypes"/>
</file>