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صاحب حماة
</w:t>
      </w:r>
    </w:p>
    <w:p>
      <w:pPr>
        <w:jc w:val="start"/>
        <w:bidi/>
      </w:pPr>
      <w:r>
        <w:rPr>
          <w:rFonts w:ascii="arial" w:hAnsi="arial" w:eastAsia="arial" w:cs="arial"/>
          <w:sz w:val="28"/>
          <w:szCs w:val="28"/>
          <w:b w:val="1"/>
          <w:bCs w:val="1"/>
          <w:rtl/>
        </w:rPr>
        <w:t xml:space="preserve">المنصور صاحب حماة
</w:t>
      </w:r>
    </w:p>
    <w:p>
      <w:pPr/>
      <w:r>
        <w:rPr/>
        <w:t xml:space="preserve">المنصور صاحب حماة محمد بن محمود بن محمد بن عمر بن شاهنشاه بن أيوب صاحب حماة وابن ملوكها الملك المنصور أبو المعالي ناصر الدين ابن الملك المظفر تقي الدين ابن الملك المنصور، صاحب حماة والمعرة بعد والده وليهما وعمره عشر سنين وأيام سنة اثنتين وأربعين رعاية لأمه الصاحبة غازية بنت الملك الكامل وقام بتدبير دولته أمه وسيف الدين طغريل أستاذ الدار وشيخ الشيوخ شرف الدين عبد العزيز، وكان فيه كرم وحسن عشرة ولكنه كان يلعب وينهمك على اللهو وغير ذلك، وتوفي سنة ثلاث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2026-07-04T02:04:37+03:00</dcterms:created>
  <dcterms:modified xsi:type="dcterms:W3CDTF">2026-07-04T02:04:37+03:00</dcterms:modified>
</cp:coreProperties>
</file>

<file path=docProps/custom.xml><?xml version="1.0" encoding="utf-8"?>
<Properties xmlns="http://schemas.openxmlformats.org/officeDocument/2006/custom-properties" xmlns:vt="http://schemas.openxmlformats.org/officeDocument/2006/docPropsVTypes"/>
</file>