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العلاء الغزنوي
</w:t>
      </w:r>
    </w:p>
    <w:p>
      <w:pPr>
        <w:jc w:val="start"/>
        <w:bidi/>
      </w:pPr>
      <w:r>
        <w:rPr>
          <w:rFonts w:ascii="arial" w:hAnsi="arial" w:eastAsia="arial" w:cs="arial"/>
          <w:sz w:val="28"/>
          <w:szCs w:val="28"/>
          <w:b w:val="1"/>
          <w:bCs w:val="1"/>
          <w:rtl/>
        </w:rPr>
        <w:t xml:space="preserve">أبو العلاء الغزنوي
</w:t>
      </w:r>
    </w:p>
    <w:p>
      <w:pPr/>
      <w:r>
        <w:rPr/>
        <w:t xml:space="preserve">أبو العلاء الغزنوي محمد بن محمود بن أبي الحسن النيسابوري الغزنوي أبو العلاء، ذكره تاج الإسلام في تاريخ مرو وقال: لقيته ببلخ في شهر رجب سنة سبع وأربعين وخمس مائة، وقال: هو من أهل غزنة وكان إماما فاضلا واسع العلم متفننا عارفا بالأدب مليح المحاورة كثير المحفوظ، جمع كتابا مليحا في شعراء عصره سماه سر السرور، وكان والده من مشاهير العلماء صاحب الكتب الحسان مثل التفسير وخلق الإنسان، وقدم ولده محمد خراسان رسولا مرتين من صاحب غزنة إلى السلطان سنجر بن ملكشاه وكان ولي القضاء بغزنة.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2026-07-04T04:25:57+03:00</dcterms:created>
  <dcterms:modified xsi:type="dcterms:W3CDTF">2026-07-04T04:25:57+03:00</dcterms:modified>
</cp:coreProperties>
</file>

<file path=docProps/custom.xml><?xml version="1.0" encoding="utf-8"?>
<Properties xmlns="http://schemas.openxmlformats.org/officeDocument/2006/custom-properties" xmlns:vt="http://schemas.openxmlformats.org/officeDocument/2006/docPropsVTypes"/>
</file>