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السناباذي الواعظ
</w:t>
      </w:r>
    </w:p>
    <w:p>
      <w:pPr>
        <w:jc w:val="start"/>
        <w:bidi/>
      </w:pPr>
      <w:r>
        <w:rPr>
          <w:rFonts w:ascii="arial" w:hAnsi="arial" w:eastAsia="arial" w:cs="arial"/>
          <w:sz w:val="28"/>
          <w:szCs w:val="28"/>
          <w:b w:val="1"/>
          <w:bCs w:val="1"/>
          <w:rtl/>
        </w:rPr>
        <w:t xml:space="preserve">السناباذي الواعظ
</w:t>
      </w:r>
    </w:p>
    <w:p>
      <w:pPr/>
      <w:r>
        <w:rPr/>
        <w:t xml:space="preserve">السناباذي الواعظ محمد بن محمود بن محمد بن أحمد السناباذي الطوسي أبو الفتح، سمع أبا سعد محمد بن أحمد بن الخليل النوقاني وقرأ الفقه على محمد بن يحيى وكان من أئمة الفقهاء الشافعية مليح الوعظ حسن العبارة فصيحا، قدم بغداذ سنة سبع وستين وخمس مائة بعد موت البروي وجلس للوعظ ولم يصادف قبولا، فتوجه إلى الشام ودخل مصر واستوطنها إلى حين وفاته وصادف بها القبول التام من الملوك والعوام، ولما مات سنة ست وتسعين وخمس مائة دفن بالقرافة وحمله أولاد السلطان على رقابهم.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السناباذي
</w:t>
      </w:r>
    </w:p>
    <w:p>
      <w:pPr/>
      <w:r>
        <w:rPr/>
        <w:t xml:space="preserve">السناباذي الواعظ محمد بن محمود.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2026-07-04T04:25:55+03:00</dcterms:created>
  <dcterms:modified xsi:type="dcterms:W3CDTF">2026-07-04T04:25:55+03:00</dcterms:modified>
</cp:coreProperties>
</file>

<file path=docProps/custom.xml><?xml version="1.0" encoding="utf-8"?>
<Properties xmlns="http://schemas.openxmlformats.org/officeDocument/2006/custom-properties" xmlns:vt="http://schemas.openxmlformats.org/officeDocument/2006/docPropsVTypes"/>
</file>