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جري الرقي
</w:t>
      </w:r>
    </w:p>
    <w:p>
      <w:pPr>
        <w:jc w:val="start"/>
        <w:bidi/>
      </w:pPr>
      <w:r>
        <w:rPr>
          <w:rFonts w:ascii="arial" w:hAnsi="arial" w:eastAsia="arial" w:cs="arial"/>
          <w:sz w:val="28"/>
          <w:szCs w:val="28"/>
          <w:b w:val="1"/>
          <w:bCs w:val="1"/>
          <w:rtl/>
        </w:rPr>
        <w:t xml:space="preserve">ابن جري الرقي
</w:t>
      </w:r>
    </w:p>
    <w:p>
      <w:pPr/>
      <w:r>
        <w:rPr/>
        <w:t xml:space="preserve">ابن جري الرقي محمد بن محمود بن عون بن فريج أبو عبد الله التاجر المعروف بابن جري -بجيم مضمومة وراء مشددة مفتوحة- من أهل الرقة، قدم بغداذ مرات وقرأ بها الأدب على أبي البركات ابن الأنباري وسمع المقامات الحريرية من منوجهر، وقرأ بواسط القرآن على أبي بكر بن الباقلاني وعلى ابن خطيب شافيا وكانا من أصحاب القلانسي، وقرأ الفقه ببغداذ على ابن فضلان وسمع الحديث من ابن شاتيل وابن زريق وابن الطراح وغيرهم، وسمع بالشام من يحيى بن أحمد بن محمود الثقفي الأصبهاني، وقرأ عليه ابن النجار كتاب الشكر لابن أبي الدنيا، قال ابن النجار: كان بخيلا شديد الإمساك على نفسه ظاهره ظاهر الفقراء ويعيش عيشهم، وطول في وصفه بالبخل وسوء الحال وكثرة المال وقال: قصده أصحاب الحديث فلم يسمعهم شيئا إلا بأجر يأخذه من حطام الدنيا وقتل وأخذ ماله في سنة 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2026-07-04T04:24:13+03:00</dcterms:created>
  <dcterms:modified xsi:type="dcterms:W3CDTF">2026-07-04T04:24:13+03:00</dcterms:modified>
</cp:coreProperties>
</file>

<file path=docProps/custom.xml><?xml version="1.0" encoding="utf-8"?>
<Properties xmlns="http://schemas.openxmlformats.org/officeDocument/2006/custom-properties" xmlns:vt="http://schemas.openxmlformats.org/officeDocument/2006/docPropsVTypes"/>
</file>