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الواعظ
</w:t>
      </w:r>
    </w:p>
    <w:p>
      <w:pPr>
        <w:jc w:val="start"/>
        <w:bidi/>
      </w:pPr>
      <w:r>
        <w:rPr>
          <w:rFonts w:ascii="arial" w:hAnsi="arial" w:eastAsia="arial" w:cs="arial"/>
          <w:sz w:val="28"/>
          <w:szCs w:val="28"/>
          <w:b w:val="1"/>
          <w:bCs w:val="1"/>
          <w:rtl/>
        </w:rPr>
        <w:t xml:space="preserve">أبو عبد الله الواعظ
</w:t>
      </w:r>
    </w:p>
    <w:p>
      <w:pPr/>
      <w:r>
        <w:rPr/>
        <w:t xml:space="preserve">أبو عبد الله الواعظ محمد بن محمود بن أبي بكر بن محمد بن أبي بكر بن حيوية أبو عبد الله الواعظ الأصبهاني.</w:t>
      </w:r>
    </w:p>
    <w:p/>
    <w:p>
      <w:pPr/>
      <w:r>
        <w:rPr/>
        <w:t xml:space="preserve">كان ختن الحافظ أبي موسى على ابنته وكان أديبا فاضلا واعظا من وجوه الحنابلة، سمع الحديث الكثير وكتب بخطه وجمع معجما لمشايخه، وكان متدينا حسن الطريقة صدوقا، سمع أبا سعد أحمد بن محمد بن أبي سعد البغداذي وأبا القاسم إسماعيل بن علي بن الحسين الحمامي وأبا رشيد أحمد بن محمد بن أحمد الخرقي وأبا القاسم إبراهيم بن محمد بن أبي القاسم الدواتي وخلقا كثيرا وقدم بغداذ وحدث باليسير، سمع منه بلديه محمد بن حامد بن عبد الواحد البقال.</w:t>
      </w:r>
    </w:p>
    <w:p/>
    <w:p>
      <w:pPr/>
      <w:r>
        <w:rPr/>
        <w:t xml:space="preserve">توفي سنة تسع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2026-07-05T05:52:24+03:00</dcterms:created>
  <dcterms:modified xsi:type="dcterms:W3CDTF">2026-07-05T05:52:24+03:00</dcterms:modified>
</cp:coreProperties>
</file>

<file path=docProps/custom.xml><?xml version="1.0" encoding="utf-8"?>
<Properties xmlns="http://schemas.openxmlformats.org/officeDocument/2006/custom-properties" xmlns:vt="http://schemas.openxmlformats.org/officeDocument/2006/docPropsVTypes"/>
</file>