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الوزير أبو جعفر الكرخي محمد بن القاسم بن محمد بن الفضل أبو جعفر الكرخي
</w:t>
      </w:r>
    </w:p>
    <w:p>
      <w:pPr>
        <w:jc w:val="start"/>
        <w:bidi/>
      </w:pPr>
      <w:r>
        <w:rPr>
          <w:rFonts w:ascii="arial" w:hAnsi="arial" w:eastAsia="arial" w:cs="arial"/>
          <w:sz w:val="28"/>
          <w:szCs w:val="28"/>
          <w:b w:val="1"/>
          <w:bCs w:val="1"/>
          <w:rtl/>
        </w:rPr>
        <w:t xml:space="preserve">الوزير أبو جعفر الكرخي محمد بن القاسم بن محمد بن الفضل أبو جعفر الكرخي
</w:t>
      </w:r>
    </w:p>
    <w:p>
      <w:pPr/>
      <w:r>
        <w:rPr/>
        <w:t xml:space="preserve">الوزير أبو جعفر الكرخي محمد بن القاسم بن محمد بن الفضل أبو جعفر الكرخي ولي وزارة الراضي بالله سنة أربع وعشرين وثلاث مائة بعد عبد الرحمن بن عيسى بن الجراح فأقام ثلاثة أشهر ونصفا، فلما فسد أمر الراضي بالله استتر ووكل بداره وفتش منزله ومنزل أخيه جعفر وحمل ما وجد فيهما، ثم أنه ولي الوزارة ثانيا فكانت وزارته الثانية ثلاثة وخمسين يوما. وكان بطيء الكتابة والقراءة فيه كرم واحترام لقاصديه.</w:t>
      </w:r>
    </w:p>
    <w:p/>
    <w:p>
      <w:pPr/>
      <w:r>
        <w:rPr/>
        <w:t xml:space="preserve">وتوفي سنة ثلاث وأربعين وثلاث مائة ومولده سنة ست وسبعين ومأتين.</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2026-07-04T05:52:57+03:00</dcterms:created>
  <dcterms:modified xsi:type="dcterms:W3CDTF">2026-07-04T05:52:57+03:00</dcterms:modified>
</cp:coreProperties>
</file>

<file path=docProps/custom.xml><?xml version="1.0" encoding="utf-8"?>
<Properties xmlns="http://schemas.openxmlformats.org/officeDocument/2006/custom-properties" xmlns:vt="http://schemas.openxmlformats.org/officeDocument/2006/docPropsVTypes"/>
</file>