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أبو عبد الله التكريتي محمد بن القاسم بن هبة الله أبو عبد الله الفقيه الشافعي من أهل تكريت
</w:t>
      </w:r>
    </w:p>
    <w:p>
      <w:pPr>
        <w:jc w:val="start"/>
        <w:bidi/>
      </w:pPr>
      <w:r>
        <w:rPr>
          <w:rFonts w:ascii="arial" w:hAnsi="arial" w:eastAsia="arial" w:cs="arial"/>
          <w:sz w:val="28"/>
          <w:szCs w:val="28"/>
          <w:b w:val="1"/>
          <w:bCs w:val="1"/>
          <w:rtl/>
        </w:rPr>
        <w:t xml:space="preserve">الفقيه أبو عبد الله التكريتي محمد بن القاسم بن هبة الله أبو عبد الله الفقيه الشافعي من أهل تكريت
</w:t>
      </w:r>
    </w:p>
    <w:p>
      <w:pPr/>
      <w:r>
        <w:rPr/>
        <w:t xml:space="preserve">الفقيه أبو عبد الله التكريتي محمد بن القاسم بن هبة الله أبو عبد الله الفقيه الشافعي من أهل تكريت تفقه بها في صباه على قاضيها يحيى بن القاسم، ثم قدم بغداذ ودرس الفقه والخلاف على أبي القاسم بن فضلان، وسافر إلى الموصل وقرأ على فضلائها وبرع في المذهب والخلاف، وعاد إلى بغداذ وصار معيدا بالنظامية واستنابه أقضى القضاة أحمد بن علي بن البخاري على الحكم بدار الخلافة مدة ولايته.</w:t>
      </w:r>
    </w:p>
    <w:p/>
    <w:p>
      <w:pPr/>
      <w:r>
        <w:rPr/>
        <w:t xml:space="preserve">وكان فقيها فاضلا حافظا للمذهب سديد الفتاوي حافظا لكتاب الله إلا أنه كان شديد الحمق فاسد الفكرة قليل العقل سيء التصرف وكان يدعي النظم والنثر ويكتب منه ما يضحك منه.</w:t>
      </w:r>
    </w:p>
    <w:p/>
    <w:p>
      <w:pPr/>
      <w:r>
        <w:rPr/>
        <w:t xml:space="preserve">وتوفي سنة أربع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2026-07-04T05:53:54+03:00</dcterms:created>
  <dcterms:modified xsi:type="dcterms:W3CDTF">2026-07-04T05:53:54+03:00</dcterms:modified>
</cp:coreProperties>
</file>

<file path=docProps/custom.xml><?xml version="1.0" encoding="utf-8"?>
<Properties xmlns="http://schemas.openxmlformats.org/officeDocument/2006/custom-properties" xmlns:vt="http://schemas.openxmlformats.org/officeDocument/2006/docPropsVTypes"/>
</file>