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المعداني الكاتب محمد بن غالب الأصبهاني الكاتب يكنى أبا عبد الله
</w:t>
      </w:r>
    </w:p>
    <w:p>
      <w:pPr>
        <w:jc w:val="start"/>
        <w:bidi/>
      </w:pPr>
      <w:r>
        <w:rPr>
          <w:rFonts w:ascii="arial" w:hAnsi="arial" w:eastAsia="arial" w:cs="arial"/>
          <w:sz w:val="28"/>
          <w:szCs w:val="28"/>
          <w:b w:val="1"/>
          <w:bCs w:val="1"/>
          <w:rtl/>
        </w:rPr>
        <w:t xml:space="preserve">المعداني الكاتب محمد بن غالب الأصبهاني الكاتب يكنى أبا عبد الله
</w:t>
      </w:r>
    </w:p>
    <w:p>
      <w:pPr/>
      <w:r>
        <w:rPr/>
        <w:t xml:space="preserve">المعداني الكاتب محمد بن غالب الأصبهاني الكاتب يكنى أبا عبد الله مترسل بليغ اتصل بعبيد الله بن سليمان وتقرب إلى ابنه القاسم بالنصب وله في ذلك أشعار وهو القائل:</w:t>
      </w:r>
    </w:p>
    <w:p/>
    <w:p>
      <w:pPr>
        <w:jc w:val="center"/>
      </w:pPr>
      <w:r>
        <w:rPr>
          <w:color w:val="ff0000"/>
        </w:rPr>
        <w:t xml:space="preserve">ثمن المعروف شكر</w:t>
      </w:r>
      <w:r>
        <w:rPr>
          <w:color w:val="ff0000"/>
        </w:rPr>
        <w:t xml:space="preserve">      </w:t>
      </w:r>
      <w:r>
        <w:rPr>
          <w:color w:val="ff0000"/>
        </w:rPr>
        <w:t xml:space="preserve">ويد الإنعام ذخر</w:t>
      </w:r>
    </w:p>
    <w:p/>
    <w:p>
      <w:pPr>
        <w:jc w:val="center"/>
      </w:pPr>
      <w:r>
        <w:rPr>
          <w:color w:val="ff0000"/>
        </w:rPr>
        <w:t xml:space="preserve">وبقاء الذكر في الأحـ</w:t>
      </w:r>
      <w:r>
        <w:rPr>
          <w:color w:val="ff0000"/>
        </w:rPr>
        <w:t xml:space="preserve">      </w:t>
      </w:r>
      <w:r>
        <w:rPr>
          <w:color w:val="ff0000"/>
        </w:rPr>
        <w:t xml:space="preserve">ـياء للأموات عمر</w:t>
      </w:r>
    </w:p>
    <w:p/>
    <w:p>
      <w:pPr/>
      <w:r>
        <w:rPr/>
        <w:t xml:space="preserve">وله في عبيد الله بن يحيى:</w:t>
      </w:r>
    </w:p>
    <w:p/>
    <w:p>
      <w:pPr>
        <w:jc w:val="center"/>
      </w:pPr>
      <w:r>
        <w:rPr>
          <w:color w:val="ff0000"/>
        </w:rPr>
        <w:t xml:space="preserve">أبا حسن شكر الرجال هو الذخر</w:t>
      </w:r>
      <w:r>
        <w:rPr>
          <w:color w:val="ff0000"/>
        </w:rPr>
        <w:t xml:space="preserve">      </w:t>
      </w:r>
      <w:r>
        <w:rPr>
          <w:color w:val="ff0000"/>
        </w:rPr>
        <w:t xml:space="preserve">إذا أنفد المال الحوادث والدهر</w:t>
      </w:r>
    </w:p>
    <w:p/>
    <w:p>
      <w:pPr>
        <w:jc w:val="center"/>
      </w:pPr>
      <w:r>
        <w:rPr>
          <w:color w:val="ff0000"/>
        </w:rPr>
        <w:t xml:space="preserve">فسل بأمور الدهر مني ابن حنكة</w:t>
      </w:r>
      <w:r>
        <w:rPr>
          <w:color w:val="ff0000"/>
        </w:rPr>
        <w:t xml:space="preserve">      </w:t>
      </w:r>
      <w:r>
        <w:rPr>
          <w:color w:val="ff0000"/>
        </w:rPr>
        <w:t xml:space="preserve">تعاقبه من دهره الحلو والمر</w:t>
      </w:r>
    </w:p>
    <w:p/>
    <w:p>
      <w:pPr/>
      <w:r>
        <w:rPr/>
        <w:t xml:space="preserve">باشر بالحضرة ديوان الرسائل ثلاثين سنة إلى أيام المكتفي لأنه ورد على المعتز كتاب من ملك الروم عجز كتاب الحضرة عن جوابه فأجاب عنه فقدمه وترشح للوزارة فاحتال عليه القاسم بن عبيد الله حتى أخرجه إلى أصبهان وكتب إلى المسمعي بإهلاكه فأحضره مائدته واكل عنده كوامخ وسمكا مالحا ثم أدخله بيتا وأغلقه فمات عطشا، فقال يخاطب المسمعي:</w:t>
      </w:r>
    </w:p>
    <w:p/>
    <w:p>
      <w:pPr>
        <w:jc w:val="center"/>
      </w:pPr>
      <w:r>
        <w:rPr>
          <w:color w:val="ff0000"/>
        </w:rPr>
        <w:t xml:space="preserve">أبا صالح أنت من صالح</w:t>
      </w:r>
      <w:r>
        <w:rPr>
          <w:color w:val="ff0000"/>
        </w:rPr>
        <w:t xml:space="preserve">      </w:t>
      </w:r>
      <w:r>
        <w:rPr>
          <w:color w:val="ff0000"/>
        </w:rPr>
        <w:t xml:space="preserve">بحيث السويداء والناظران</w:t>
      </w:r>
    </w:p>
    <w:p/>
    <w:p>
      <w:pPr>
        <w:jc w:val="center"/>
      </w:pPr>
      <w:r>
        <w:rPr>
          <w:color w:val="ff0000"/>
        </w:rPr>
        <w:t xml:space="preserve">فلا تستهن بكفاة الرجال</w:t>
      </w:r>
      <w:r>
        <w:rPr>
          <w:color w:val="ff0000"/>
        </w:rPr>
        <w:t xml:space="preserve">      </w:t>
      </w:r>
      <w:r>
        <w:rPr>
          <w:color w:val="ff0000"/>
        </w:rPr>
        <w:t xml:space="preserve">فإن الرجال كنوز الزمان</w:t>
      </w:r>
    </w:p>
    <w:p/>
    <w:p>
      <w:pPr>
        <w:jc w:val="center"/>
      </w:pPr>
      <w:r>
        <w:rPr>
          <w:color w:val="ff0000"/>
        </w:rPr>
        <w:t xml:space="preserve">ملكت فأسجح وزع بالزمام</w:t>
      </w:r>
      <w:r>
        <w:rPr>
          <w:color w:val="ff0000"/>
        </w:rPr>
        <w:t xml:space="preserve">      </w:t>
      </w:r>
      <w:r>
        <w:rPr>
          <w:color w:val="ff0000"/>
        </w:rPr>
        <w:t xml:space="preserve">وخف ما يدور به الدائران</w:t>
      </w:r>
    </w:p>
    <w:p/>
    <w:p>
      <w:pPr>
        <w:jc w:val="center"/>
      </w:pPr>
      <w:r>
        <w:rPr>
          <w:color w:val="ff0000"/>
        </w:rPr>
        <w:t xml:space="preserve">لأنك في زمن دهره</w:t>
      </w:r>
      <w:r>
        <w:rPr>
          <w:color w:val="ff0000"/>
        </w:rPr>
        <w:t xml:space="preserve">      </w:t>
      </w:r>
      <w:r>
        <w:rPr>
          <w:color w:val="ff0000"/>
        </w:rPr>
        <w:t xml:space="preserve">كيوم ودولته ساعتان</w:t>
      </w:r>
    </w:p>
    <w:p/>
    <w:p>
      <w:pPr/>
      <w:r>
        <w:rPr/>
        <w:t xml:space="preserve">وقال أحمد بن أبي طاهر في كتاب بغداذ: هلك بإصبهان بالجوع والتدخين ثلاثة أيام من خلافة المكتفي.</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غالب المعداني الأصبهاني
</w:t>
      </w:r>
    </w:p>
    <w:p>
      <w:pPr/>
      <w:r>
        <w:rPr/>
        <w:t xml:space="preserve">محمد بن غالب المعدانيّ الأصبهانيّ، من ولد معدان الذي تنسب إليه المعدانية بأصبهان. </w:t>
      </w:r>
    </w:p>
    <w:p/>
    <w:p>
      <w:pPr/>
      <w:r>
        <w:rPr/>
        <w:t xml:space="preserve">عني بالترسّل والتّرداد إلى الدّيوان، ولم يزل حتّى ولي ديوان الخراج بأصبهان، ثم تولّى كتابة الإنشاء بالحضرة، وسبب ذلك أنه ورد كتاب من ملك الرّوم فلم يمكن أحدا أن يجيب عنه، فأجاب هو عنه، فتقدّم بذلك، ثم رشّح للوزارة، فاحتال عليه القاسم بن عبيد الله حتى أخرجه إلى أصبهان، ووضع عليه من سمّه. وكان فاضلا كاتبا، له كتاب في حلّ التراجم، وكتاب في الرسائل السّلطانيات، وكتاب في الإخوانيات.</w:t>
      </w:r>
    </w:p>
    <w:p>
      <w:pPr>
        <w:jc w:val="start"/>
        <w:bidi/>
      </w:pPr>
      <w:r>
        <w:rPr>
          <w:sz w:val="24"/>
          <w:szCs w:val="24"/>
          <w:b w:val="1"/>
          <w:bCs w:val="1"/>
          <w:rtl/>
        </w:rPr>
        <w:t xml:space="preserve">
الدر الثمين في أسماء المصنفين،(دار الغرب الإسلامي - تونس،2009،ط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2026-07-04T06:56:26+03:00</dcterms:created>
  <dcterms:modified xsi:type="dcterms:W3CDTF">2026-07-04T06:56:26+03:00</dcterms:modified>
</cp:coreProperties>
</file>

<file path=docProps/custom.xml><?xml version="1.0" encoding="utf-8"?>
<Properties xmlns="http://schemas.openxmlformats.org/officeDocument/2006/custom-properties" xmlns:vt="http://schemas.openxmlformats.org/officeDocument/2006/docPropsVTypes"/>
</file>