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الداعي المقرئ محمد بن عمر بن أبي القاسم الشريف أبو عبد الله الداعي الرشيدي الهاشمي المقرئ
</w:t>
      </w:r>
    </w:p>
    <w:p>
      <w:pPr>
        <w:jc w:val="start"/>
        <w:bidi/>
      </w:pPr>
      <w:r>
        <w:rPr>
          <w:rFonts w:ascii="arial" w:hAnsi="arial" w:eastAsia="arial" w:cs="arial"/>
          <w:sz w:val="28"/>
          <w:szCs w:val="28"/>
          <w:b w:val="1"/>
          <w:bCs w:val="1"/>
          <w:rtl/>
        </w:rPr>
        <w:t xml:space="preserve">الشريف الداعي المقرئ محمد بن عمر بن أبي القاسم الشريف أبو عبد الله الداعي الرشيدي الهاشمي المقرئ
</w:t>
      </w:r>
    </w:p>
    <w:p>
      <w:pPr/>
      <w:r>
        <w:rPr/>
        <w:t xml:space="preserve">الشريف الداعي المقرئ محمد بن عمر بن أبي القاسم الشريف أبو عبد الله الداعي الرشيدي الهاشمي المقرئ شيخ القراء بالعراق ومسند الآفاق كان أحد من عني بهذا الشأن.</w:t>
      </w:r>
    </w:p>
    <w:p/>
    <w:p>
      <w:pPr/>
      <w:r>
        <w:rPr/>
        <w:t xml:space="preserve">قرأ العربية على أبي بكر ابن الباقلاني وأبي يعقوب المبارك بن المبارك الحداد وعمر دهرا وجلس للإقراء ببغداذ، وقرأ عليه القراآت الموفق عبد الله بن مظفر بن علان البعقوبي وأجاز لابن خروف بخط شديد الاضطراب، وروى عنه إذنا برهان الدين الجعبري شيخ الحرم ببلد الخليل عليه السلام.</w:t>
      </w:r>
    </w:p>
    <w:p/>
    <w:p>
      <w:pPr/>
      <w:r>
        <w:rPr/>
        <w:t xml:space="preserve">وتوفي سنة خمس وستين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2026-07-05T11:17:09+03:00</dcterms:created>
  <dcterms:modified xsi:type="dcterms:W3CDTF">2026-07-05T11:17:09+03:00</dcterms:modified>
</cp:coreProperties>
</file>

<file path=docProps/custom.xml><?xml version="1.0" encoding="utf-8"?>
<Properties xmlns="http://schemas.openxmlformats.org/officeDocument/2006/custom-properties" xmlns:vt="http://schemas.openxmlformats.org/officeDocument/2006/docPropsVTypes"/>
</file>