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ابن مازة الحنفي محمد بن عمر بن عبد العزيز بن مازة أبو جعفر الفقيه الحنفي
</w:t>
      </w:r>
    </w:p>
    <w:p>
      <w:pPr>
        <w:jc w:val="start"/>
        <w:bidi/>
      </w:pPr>
      <w:r>
        <w:rPr>
          <w:rFonts w:ascii="arial" w:hAnsi="arial" w:eastAsia="arial" w:cs="arial"/>
          <w:sz w:val="28"/>
          <w:szCs w:val="28"/>
          <w:b w:val="1"/>
          <w:bCs w:val="1"/>
          <w:rtl/>
        </w:rPr>
        <w:t xml:space="preserve">الفقيه ابن مازة الحنفي محمد بن عمر بن عبد العزيز بن مازة أبو جعفر الفقيه الحنفي
</w:t>
      </w:r>
    </w:p>
    <w:p>
      <w:pPr/>
      <w:r>
        <w:rPr/>
        <w:t xml:space="preserve">الفقيه ابن مازة الحنفي محمد بن عمر بن عبد العزيز بن مازة أبو جعفر الفقيه الحنفي من أهل بخارا رئيسها وابن رئيسها.</w:t>
      </w:r>
    </w:p>
    <w:p/>
    <w:p>
      <w:pPr/>
      <w:r>
        <w:rPr/>
        <w:t xml:space="preserve">كان من فحول فقهائها المشهورين بالفضل والنبل وله التقدم عند الملوك والسلاطين، قدم بغداذ وحدث عن والده، روى عنه أبو البركات محمد بن علي الأنصاري قاضي سيوط من أهل مصر في مشيخته.</w:t>
      </w:r>
    </w:p>
    <w:p/>
    <w:p>
      <w:pPr/>
      <w:r>
        <w:rPr/>
        <w:t xml:space="preserve">مولده سنة احدى عشرة وخمس مائة وقتل سنة 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2026-07-05T11:16:53+03:00</dcterms:created>
  <dcterms:modified xsi:type="dcterms:W3CDTF">2026-07-05T11:16:53+03:00</dcterms:modified>
</cp:coreProperties>
</file>

<file path=docProps/custom.xml><?xml version="1.0" encoding="utf-8"?>
<Properties xmlns="http://schemas.openxmlformats.org/officeDocument/2006/custom-properties" xmlns:vt="http://schemas.openxmlformats.org/officeDocument/2006/docPropsVTypes"/>
</file>