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عمران قاضي المدينة
</w:t>
      </w:r>
    </w:p>
    <w:p>
      <w:pPr>
        <w:jc w:val="start"/>
        <w:bidi/>
      </w:pPr>
      <w:r>
        <w:rPr>
          <w:rFonts w:ascii="arial" w:hAnsi="arial" w:eastAsia="arial" w:cs="arial"/>
          <w:sz w:val="28"/>
          <w:szCs w:val="28"/>
          <w:b w:val="1"/>
          <w:bCs w:val="1"/>
          <w:rtl/>
        </w:rPr>
        <w:t xml:space="preserve">ابن عمران قاضي المدينة
</w:t>
      </w:r>
    </w:p>
    <w:p>
      <w:pPr/>
      <w:r>
        <w:rPr/>
        <w:t xml:space="preserve">ابن عمران قاضي المدينة محمد بن عمران بن إبراهيم بن محمد بن طلحة بن عبيد الله التيمي أبو سليمان قاضي المدينة الذي حكم بين المنصور والجمالين من الطبقة الخامسة من أهل المدينة.</w:t>
      </w:r>
    </w:p>
    <w:p/>
    <w:p>
      <w:pPr/>
      <w:r>
        <w:rPr/>
        <w:t xml:space="preserve">أمه أسماء بنت سلمة بن عمر بن أبي سلمة وأمها حفصة بنت عبد الله بن عمر بن الخطاب وأمها أسماء بنت بن زيد بن الخطاب.</w:t>
      </w:r>
    </w:p>
    <w:p/>
    <w:p>
      <w:pPr/>
      <w:r>
        <w:rPr/>
        <w:t xml:space="preserve">قضى لبني أمية ثم للمنصور على المدينة كان مهيبا صليبا قليل الحديث اتفقوا على صدقه وثقته وديانته وورعه ونزاهته، كان له من الولد عبد الله وعبد العزيز، لما بلغ موته سنة أربع وخمسين بعد المائة أبا جعفر قال: اليوم استوت قريش.</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2026-07-04T23:35:53+03:00</dcterms:created>
  <dcterms:modified xsi:type="dcterms:W3CDTF">2026-07-04T23:35:53+03:00</dcterms:modified>
</cp:coreProperties>
</file>

<file path=docProps/custom.xml><?xml version="1.0" encoding="utf-8"?>
<Properties xmlns="http://schemas.openxmlformats.org/officeDocument/2006/custom-properties" xmlns:vt="http://schemas.openxmlformats.org/officeDocument/2006/docPropsVTypes"/>
</file>