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طوير الليل البارنباري الشافعي محمد بن علي الإمام الفاضل الفقيه النحوي الأصولي تاج الدين البارنباري الشافعي
</w:t>
      </w:r>
    </w:p>
    <w:p>
      <w:pPr>
        <w:jc w:val="start"/>
        <w:bidi/>
      </w:pPr>
      <w:r>
        <w:rPr>
          <w:rFonts w:ascii="arial" w:hAnsi="arial" w:eastAsia="arial" w:cs="arial"/>
          <w:sz w:val="28"/>
          <w:szCs w:val="28"/>
          <w:b w:val="1"/>
          <w:bCs w:val="1"/>
          <w:rtl/>
        </w:rPr>
        <w:t xml:space="preserve">تاج الدين طوير الليل البارنباري الشافعي محمد بن علي الإمام الفاضل الفقيه النحوي الأصولي تاج الدين البارنباري الشافعي
</w:t>
      </w:r>
    </w:p>
    <w:p>
      <w:pPr/>
      <w:r>
        <w:rPr/>
        <w:t xml:space="preserve">تاج الدين طوير الليل البارنباري الشافعي محمد بن علي الإمام الفاضل الفقيه النحوي الأصولي تاج الدين البارنباري الشافعي أخبرني من لفظه العلامة قاضي القضاة تقي الدين السبكي قال: قرأ المذكور على الشيخ حسن الراشدي القراآت السبع بالفاضلية وقرأ المعقول على الشيخ شمس الدين الأصبهاني وحفظ التعجيز وكان يستحضره إلى آخر وقت ويعرفه جيدا وحفظ الجزولية واستمر على حفظ القرآن إلى أن مات سنة سبع عشرة وسبع مائة.</w:t>
      </w:r>
    </w:p>
    <w:p/>
    <w:p>
      <w:pPr/>
      <w:r>
        <w:rPr/>
        <w:t xml:space="preserve">وكان جيد المناظرة متوقد الذهن في الفقه والأصولين والعربية والمنطق وكان عديم التكلف في ملبسه ولم يكن بيده غير فقاهات المدارس وكان يلقب بطوير الليل.</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2026-07-04T10:35:10+03:00</dcterms:created>
  <dcterms:modified xsi:type="dcterms:W3CDTF">2026-07-04T10:35:10+03:00</dcterms:modified>
</cp:coreProperties>
</file>

<file path=docProps/custom.xml><?xml version="1.0" encoding="utf-8"?>
<Properties xmlns="http://schemas.openxmlformats.org/officeDocument/2006/custom-properties" xmlns:vt="http://schemas.openxmlformats.org/officeDocument/2006/docPropsVTypes"/>
</file>