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محيي الدين ابن المارستاني محمد بن علي بن عبد القوي بن عبد الباقي محيي الدين التنوخي المعري ثم الدمشقي بن المارستاني الحنفي
</w:t>
      </w:r>
    </w:p>
    <w:p>
      <w:pPr>
        <w:jc w:val="start"/>
        <w:bidi/>
      </w:pPr>
      <w:r>
        <w:rPr>
          <w:rFonts w:ascii="arial" w:hAnsi="arial" w:eastAsia="arial" w:cs="arial"/>
          <w:sz w:val="28"/>
          <w:szCs w:val="28"/>
          <w:b w:val="1"/>
          <w:bCs w:val="1"/>
          <w:rtl/>
        </w:rPr>
        <w:t xml:space="preserve">محيي الدين ابن المارستاني محمد بن علي بن عبد القوي بن عبد الباقي محيي الدين التنوخي المعري ثم الدمشقي بن المارستاني الحنفي
</w:t>
      </w:r>
    </w:p>
    <w:p>
      <w:pPr/>
      <w:r>
        <w:rPr/>
        <w:t xml:space="preserve">محيي الدين ابن المارستاني محمد بن علي بن عبد القوي بن عبد الباقي محيي الدين التنوخي المعري ثم الدمشقي بن المارستاني الحنفي نزيل بالقاهرة.</w:t>
      </w:r>
    </w:p>
    <w:p/>
    <w:p>
      <w:pPr/>
      <w:r>
        <w:rPr/>
        <w:t xml:space="preserve">ولد سنة سبع وأربعين وسمع من عثمان بن علي وإبراهيم بن خليل وفرج الخادم وعبد الله بن الخشوعي وعدة، وخرج له الدمياطي مشيخة وسمعها منه قديما، وكان مديما للاشتغال ورعا زهدا مفسرا متواضعا من كبار الحنفية، أعاد بالمنصورية والناصرية والظاهرية والصالحية، حمل عنه الطلبة من سماعاته جزء الذهلي علي ابن خطيب القرافة سنة اثنتين وخمسين.</w:t>
      </w:r>
    </w:p>
    <w:p/>
    <w:p>
      <w:pPr/>
      <w:r>
        <w:rPr/>
        <w:t xml:space="preserve">وتوفي سنة أربع وعشرين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2026-07-04T12:03:21+03:00</dcterms:created>
  <dcterms:modified xsi:type="dcterms:W3CDTF">2026-07-04T12:03:21+03:00</dcterms:modified>
</cp:coreProperties>
</file>

<file path=docProps/custom.xml><?xml version="1.0" encoding="utf-8"?>
<Properties xmlns="http://schemas.openxmlformats.org/officeDocument/2006/custom-properties" xmlns:vt="http://schemas.openxmlformats.org/officeDocument/2006/docPropsVTypes"/>
</file>