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الدين السمرقندي الطبيب محمد بن علي بن عمر السمرقندي نجيب الدين
</w:t>
      </w:r>
    </w:p>
    <w:p>
      <w:pPr>
        <w:jc w:val="start"/>
        <w:bidi/>
      </w:pPr>
      <w:r>
        <w:rPr>
          <w:rFonts w:ascii="arial" w:hAnsi="arial" w:eastAsia="arial" w:cs="arial"/>
          <w:sz w:val="28"/>
          <w:szCs w:val="28"/>
          <w:b w:val="1"/>
          <w:bCs w:val="1"/>
          <w:rtl/>
        </w:rPr>
        <w:t xml:space="preserve">نجيب الدين السمرقندي الطبيب محمد بن علي بن عمر السمرقندي نجيب الدين
</w:t>
      </w:r>
    </w:p>
    <w:p>
      <w:pPr/>
      <w:r>
        <w:rPr/>
        <w:t xml:space="preserve">نجيب الدين السمرقندي الطبيب محمد بن علي بن عمر السمرقندي نجيب الدين قال ابن أبي أصيبعة: طبيب فاضل بارع له كتب جليلة وتصانيف مشهورة، قتل مع جملة من الناس الذين قتلوا بهراة لما دخلها التتار وكان معاصرا لفخر الدين الرازي، ولنجيب الدين السمرقندي من الكتب كتاب أغذية المرضى قسمه على حسب ما يحتاج إليه في التغذية لكل واحد من سائر الأمراض كتاب الأسباب والعلامات جمع لنفسه ونقله من القانون لأبي علي ابن سينا ومن المعالجات البقراطية وكامل الصناعة كتاب الأقراباذين الكبير وكتاب الأقراباذين الصغير، انتهى كلامه ولم يذكر وفاته.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2026-07-04T12:00:21+03:00</dcterms:created>
  <dcterms:modified xsi:type="dcterms:W3CDTF">2026-07-04T12:00:21+03:00</dcterms:modified>
</cp:coreProperties>
</file>

<file path=docProps/custom.xml><?xml version="1.0" encoding="utf-8"?>
<Properties xmlns="http://schemas.openxmlformats.org/officeDocument/2006/custom-properties" xmlns:vt="http://schemas.openxmlformats.org/officeDocument/2006/docPropsVTypes"/>
</file>