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كمال الدين ابن مهاجر محمد بن علي بن مهاجر أبو الكرم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الصاحب كمال الدين ابن مهاجر محمد بن علي بن مهاجر الصاحب كمال الدين أبو الكرم الموصلي
</w:t>
      </w:r>
    </w:p>
    <w:p>
      <w:pPr/>
      <w:r>
        <w:rPr/>
        <w:t xml:space="preserve">الصاحب كمال الدين ابن مهاجر محمد بن علي بن مهاجر الصاحب كمال الدين أبو الكرم الموصلي قدم دمشق وسكنها وسمع وروى. قال نجم الدين ابن السائق: سكن في دار ابن البانياسي وشرع في الصدقات وشراء الأملاك ليوقفها، وكان اتفق مع والدي على عمل رصيف عقبة الكتان وقال: تجيء غدا وتأخذ دراهم لعملها، فلما أصبح بعث إليه الأشرف جرزة بنفسج وقال: هذه بركة السنة، فأخذها وشمها فكانت القاضية وأصبح ميتا، فورثه السلطان وأعطوا من تركته ألف درهم فاشتروا له تربة في سوق الصالحية.</w:t>
      </w:r>
    </w:p>
    <w:p/>
    <w:p>
      <w:pPr/>
      <w:r>
        <w:rPr/>
        <w:t xml:space="preserve">قال الشيخ شمس الدين: فلما كان بعد ذلك بنى الصاحب تقي الدين توبة بن علي بن مهاجر التكريتي في حيطان التربة خمس دكاكين وادعى أنه ابن عمه.</w:t>
      </w:r>
    </w:p>
    <w:p/>
    <w:p>
      <w:pPr/>
      <w:r>
        <w:rPr/>
        <w:t xml:space="preserve">قال أبو المظفر ابن الجوزي: بلغ قيمة ما خلف الصاحب كمال الدين ثلاث مائة ألف دينار وأراني الملك الأشرف سبحة فيها مائة حبة مثل بياض الحمام، يعني من التركة.</w:t>
      </w:r>
    </w:p>
    <w:p/>
    <w:p>
      <w:pPr/>
      <w:r>
        <w:rPr/>
        <w:t xml:space="preserve">وكانت وفاته في سنة أربع وثلاثين وست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2026-07-04T12:00:21+03:00</dcterms:created>
  <dcterms:modified xsi:type="dcterms:W3CDTF">2026-07-04T12:00:21+03:00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