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محمد بن علي بن القاضي أبو البركات الأنصاري الموصلي الشافعي
</w:t>
      </w:r>
    </w:p>
    <w:p>
      <w:pPr>
        <w:jc w:val="start"/>
        <w:bidi/>
      </w:pPr>
      <w:r>
        <w:rPr>
          <w:rFonts w:ascii="arial" w:hAnsi="arial" w:eastAsia="arial" w:cs="arial"/>
          <w:sz w:val="28"/>
          <w:szCs w:val="28"/>
          <w:b w:val="1"/>
          <w:bCs w:val="1"/>
          <w:rtl/>
        </w:rPr>
        <w:t xml:space="preserve">محمد بن علي بن محمد بن محمد بن علي بن القاضي أبو البركات الأنصاري الموصلي الشافعي
</w:t>
      </w:r>
    </w:p>
    <w:p>
      <w:pPr/>
      <w:r>
        <w:rPr/>
        <w:t xml:space="preserve">قاضي أسيوط أبو البركات محمد بن علي بن محمد بن محمد بن علي بن القاضي أبو البركات الأنصاري الموصلي الشافعي ولي القضاء بأسيوط زيادة على عشرين سنة وبحماة مدة ثمان سنين أيام نور الدين، وجمع كتابا سماه عيون الأخبار وغرر الحكايات والأشعار وجمع أربعين حديثا عن أربعين شيخا في أربعين مدينة وخرج معجم النساء.</w:t>
      </w:r>
    </w:p>
    <w:p/>
    <w:p>
      <w:pPr/>
      <w:r>
        <w:rPr/>
        <w:t xml:space="preserve">وفي سنة ست مائة كانت وفاته.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2026-07-04T12:02:53+03:00</dcterms:created>
  <dcterms:modified xsi:type="dcterms:W3CDTF">2026-07-04T12:02:53+03:00</dcterms:modified>
</cp:coreProperties>
</file>

<file path=docProps/custom.xml><?xml version="1.0" encoding="utf-8"?>
<Properties xmlns="http://schemas.openxmlformats.org/officeDocument/2006/custom-properties" xmlns:vt="http://schemas.openxmlformats.org/officeDocument/2006/docPropsVTypes"/>
</file>