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الفتح
</w:t>
      </w:r>
    </w:p>
    <w:p>
      <w:pPr>
        <w:jc w:val="start"/>
        <w:bidi/>
      </w:pPr>
      <w:r>
        <w:rPr>
          <w:rFonts w:ascii="arial" w:hAnsi="arial" w:eastAsia="arial" w:cs="arial"/>
          <w:sz w:val="28"/>
          <w:szCs w:val="28"/>
          <w:b w:val="1"/>
          <w:bCs w:val="1"/>
          <w:rtl/>
        </w:rPr>
        <w:t xml:space="preserve">ابن ابي الفتح
</w:t>
      </w:r>
    </w:p>
    <w:p>
      <w:pPr/>
      <w:r>
        <w:rPr/>
        <w:t xml:space="preserve">ابن ابي الفتح قاسم بن نصير بن وقاص، ابو محمد المعروف بابن ابي الفتح:شاعر اندلسي من أهل شذونة(Sidona) كان خطيب أهل قلسانة (Calsena) وصاحب صلاتهم تخلى عن الدنيا في اخر عمره له (ديوان شعر) اكثره في الزهد. </w:t>
      </w:r>
    </w:p>
    <w:p>
      <w:pPr>
        <w:jc w:val="start"/>
        <w:bidi/>
      </w:pPr>
      <w:r>
        <w:rPr>
          <w:sz w:val="24"/>
          <w:szCs w:val="24"/>
          <w:b w:val="1"/>
          <w:bCs w:val="1"/>
          <w:rtl/>
        </w:rPr>
        <w:t xml:space="preserve">
الأعلام،(دار العلم للملايين - بيروت،2002،ط 15،ج 5،ص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نصير بن رقاص بن عيشون بن سليم بن حريش بن أيوب، المعروف: بابن أبي الفتح
</w:t>
      </w:r>
    </w:p>
    <w:p>
      <w:pPr/>
      <w:r>
        <w:rPr/>
        <w:t xml:space="preserve">قاسم بن نصير بن رقاص بن عيشون بن سليم بن حريش بن أيوب، المعروف: بابن أبي الفتح من أهل شذونة؛ يكنى: أبا محمد.</w:t>
      </w:r>
    </w:p>
    <w:p/>
    <w:p>
      <w:pPr/>
      <w:r>
        <w:rPr/>
        <w:t xml:space="preserve">سمع بقرطبة: من محمد بن عمر بن لبابة، وأحمد بن خالد، ويحيى بن سليمان بن فطر، ومحمد بن عبد الملك بن أيمن، وقاسم بن أصبغ.</w:t>
      </w:r>
    </w:p>
    <w:p/>
    <w:p>
      <w:pPr/>
      <w:r>
        <w:rPr/>
        <w:t xml:space="preserve">وكان: فقيها للرأي، ونحويا لغويا، وشاعرا متقدما. وكان: يخطب أهل قلسانة وصاحب صلاتهم. وكان في الشعر سابقا لا يشق غباره، ولا يقرب ميدانه، وتخلى عن الدنيا في آخر عمره وصار في هيئة الأبدال، وأكثر شعره في الزهد، وذم الدنيا، وفي شواهد الحكم؛ والتذكير والوعظ. وله: ديوان من شعره كتبت بعضه بشذونة، وقد كتبت بعضه بشذونة. له أشعار في كتابه المؤلف في الشعراء من الفقهاء بالأندلس.</w:t>
      </w:r>
    </w:p>
    <w:p/>
    <w:p>
      <w:pPr/>
      <w:r>
        <w:rPr/>
        <w:t xml:space="preserve">قال لي عتاب بن بشر: توفي قاسم بن ابي الفتح سنة ثمان وثلاثين وثلاث مائة.</w:t>
      </w:r>
    </w:p>
    <w:p/>
    <w:p>
      <w:pPr/>
      <w:r>
        <w:rPr/>
        <w:t xml:space="preserve">وقال لي ابنه طود بن قاسم: توفي أبي (رحمه الله) في ذي الحجة سنة ثمان وثلاثين وثلاث مائة. وهو ابن أربع وخمسين سنة.</w:t>
      </w:r>
    </w:p>
    <w:p/>
    <w:p/>
    <w:p>
      <w:pPr>
        <w:jc w:val="start"/>
        <w:bidi/>
      </w:pPr>
      <w:r>
        <w:rPr>
          <w:sz w:val="24"/>
          <w:szCs w:val="24"/>
          <w:b w:val="1"/>
          <w:bCs w:val="1"/>
          <w:rtl/>
        </w:rPr>
        <w:t xml:space="preserve">
تاريخ علماء الأندلس،( مكتبة الخانجي - القاهرة،1988،ط 2،ج 1،ص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2026-05-01T15:25:00+03:00</dcterms:created>
  <dcterms:modified xsi:type="dcterms:W3CDTF">2026-05-01T15:25:00+03:00</dcterms:modified>
</cp:coreProperties>
</file>

<file path=docProps/custom.xml><?xml version="1.0" encoding="utf-8"?>
<Properties xmlns="http://schemas.openxmlformats.org/officeDocument/2006/custom-properties" xmlns:vt="http://schemas.openxmlformats.org/officeDocument/2006/docPropsVTypes"/>
</file>