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الورتلاني
</w:t>
      </w:r>
    </w:p>
    <w:p>
      <w:pPr>
        <w:jc w:val="start"/>
        <w:bidi/>
      </w:pPr>
      <w:r>
        <w:rPr>
          <w:rFonts w:ascii="arial" w:hAnsi="arial" w:eastAsia="arial" w:cs="arial"/>
          <w:sz w:val="28"/>
          <w:szCs w:val="28"/>
          <w:b w:val="1"/>
          <w:bCs w:val="1"/>
          <w:rtl/>
        </w:rPr>
        <w:t xml:space="preserve">الورتلاني
</w:t>
      </w:r>
    </w:p>
    <w:p>
      <w:pPr/>
      <w:r>
        <w:rPr/>
        <w:t xml:space="preserve">الورتلاني  الفضيل الورتلاني الجزائري: صاحب كتاب (الجزائر الثائرة - ط) ولد في قبيلة بني ورتلان، من دائرة سطيف، بالجزائر. واستكمل دراسته على عبد الحميد بن باديس، في قسنطينة. وأقام في باريس 1936 - 1938 م، يبث روح الوطنية في العمال الجزائريين بها. وانتقل إلى القاهرة، يدعو إلى مقاومة الاستعمار الفرنسي في الشمال الافريقي. وذهب في عمل تجاري إلى اليمن، فشارك في مقتل الامام يحيى حميد الدين. وطلبته حكومة اليمن بعد القضاء على ثورة ابن الوزير، فلجأ إلى لبنان، متخفيا. ثم استقر في استامبول وتوفي بها. كان عنيفا في خطابته وكتابته، مندفعا فيما يدعو إلى أو يعمل من أجله. </w:t>
      </w:r>
    </w:p>
    <w:p>
      <w:pPr>
        <w:jc w:val="start"/>
        <w:bidi/>
      </w:pPr>
      <w:r>
        <w:rPr>
          <w:sz w:val="24"/>
          <w:szCs w:val="24"/>
          <w:b w:val="1"/>
          <w:bCs w:val="1"/>
          <w:rtl/>
        </w:rPr>
        <w:t xml:space="preserve">
الأعلام،(دار العلم للملايين - بيروت،2002،ط 15،ج 5،ص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2026-05-01T09:10:51+03:00</dcterms:created>
  <dcterms:modified xsi:type="dcterms:W3CDTF">2026-05-01T09:10:51+03:00</dcterms:modified>
</cp:coreProperties>
</file>

<file path=docProps/custom.xml><?xml version="1.0" encoding="utf-8"?>
<Properties xmlns="http://schemas.openxmlformats.org/officeDocument/2006/custom-properties" xmlns:vt="http://schemas.openxmlformats.org/officeDocument/2006/docPropsVTypes"/>
</file>