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الطريحي
</w:t>
      </w:r>
    </w:p>
    <w:p>
      <w:pPr/>
      <w:r>
        <w:rPr/>
        <w:t xml:space="preserve">الطريحي  فخر الدين بن محمد بن علي بن أحمد ابن طريح الرماحي النجفي: من علماء الامامية. له (مجمع البحرين ومطلع النهرين- ط) في تفسير غريب القرآن والحديث، و(المنتخب في جمع المراثي والخطب- ط) و(غريب الحديث) و(جامع المقال فيما يتعلق باحوال الحديث والرجال- خ) و(كشف غوامض القرآن) و(جواهر المطالب في فضائل علي بن ابي طالب) و(مراثي الحسين) و(نزهة وسرور الناظر) في بيان لغات القرآن، غير ذلك. توفى في الرماحية ونقل إلى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الطريحي
</w:t>
      </w:r>
    </w:p>
    <w:p>
      <w:pPr/>
      <w:r>
        <w:rPr/>
        <w:t xml:space="preserve">الطريحي هو فخر الدين بن محمد علي الطريحي صاحب مجمع 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2026-05-01T05:34:05+03:00</dcterms:created>
  <dcterms:modified xsi:type="dcterms:W3CDTF">2026-05-01T05:34:05+03:00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