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قريمزان
</w:t>
      </w:r>
    </w:p>
    <w:p>
      <w:pPr>
        <w:jc w:val="start"/>
        <w:bidi/>
      </w:pPr>
      <w:r>
        <w:rPr>
          <w:rFonts w:ascii="arial" w:hAnsi="arial" w:eastAsia="arial" w:cs="arial"/>
          <w:sz w:val="28"/>
          <w:szCs w:val="28"/>
          <w:b w:val="1"/>
          <w:bCs w:val="1"/>
          <w:rtl/>
        </w:rPr>
        <w:t xml:space="preserve">بنت قريمزان
</w:t>
      </w:r>
    </w:p>
    <w:p>
      <w:pPr/>
      <w:r>
        <w:rPr/>
        <w:t xml:space="preserve">بنت قريمزان  فاطمة بنت عبد القادر بن محمد بن عثمان الحلبية الشهيرة ببنت قريمزان: شيخة الخانقتين العادلية والرواحية معا. انتهت اليها رياسة نساء زمانها بحلب، لما لها من الخط الجددي، والعبارة الفصيحة، والتعفف والتقشف، والنسخ الكثير لكتب كثيرة. تزوجها الشيخ كمال الدين محمد بن جمال الدين الاردبيلي واخذت العلم عنه. </w:t>
      </w:r>
    </w:p>
    <w:p>
      <w:pPr>
        <w:jc w:val="start"/>
        <w:bidi/>
      </w:pPr>
      <w:r>
        <w:rPr>
          <w:sz w:val="24"/>
          <w:szCs w:val="24"/>
          <w:b w:val="1"/>
          <w:bCs w:val="1"/>
          <w:rtl/>
        </w:rPr>
        <w:t xml:space="preserve">
الأعلام،(دار العلم للملايين - بيروت،2002،ط 15،ج 5،ص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2026-05-01T04:36:36+03:00</dcterms:created>
  <dcterms:modified xsi:type="dcterms:W3CDTF">2026-05-01T04:36:36+03:00</dcterms:modified>
</cp:coreProperties>
</file>

<file path=docProps/custom.xml><?xml version="1.0" encoding="utf-8"?>
<Properties xmlns="http://schemas.openxmlformats.org/officeDocument/2006/custom-properties" xmlns:vt="http://schemas.openxmlformats.org/officeDocument/2006/docPropsVTypes"/>
</file>