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غرير بن هيازع
</w:t>
      </w:r>
    </w:p>
    <w:p>
      <w:pPr>
        <w:jc w:val="start"/>
        <w:bidi/>
      </w:pPr>
      <w:r>
        <w:rPr>
          <w:rFonts w:ascii="arial" w:hAnsi="arial" w:eastAsia="arial" w:cs="arial"/>
          <w:sz w:val="28"/>
          <w:szCs w:val="28"/>
          <w:b w:val="1"/>
          <w:bCs w:val="1"/>
          <w:rtl/>
        </w:rPr>
        <w:t xml:space="preserve">غرير بن هيازع
</w:t>
      </w:r>
    </w:p>
    <w:p>
      <w:pPr/>
      <w:r>
        <w:rPr/>
        <w:t xml:space="preserve">غرير بن هيازع  غرير بن هيازع بن ثقبة بن جماز الحسيني: امير المدينة وينبع. اقام في امرة المدينة ثمانية سنين. قال السخاوي: ووقع بينه وبين ابن عمه عجلان بن نعير اختلاف، كما كان بين اسلافهما، فهجم غرير على حاصل المسد فاخذ منه مالا جزيلا، فامر السلطان امير الركب بالقبض عليه، ففعل. وذلك في اواخر ذي الحجة 824 واحضر مع الركب إلى مصر فاعتقل بقلعتها فمات بعد 18 يوما. </w:t>
      </w:r>
    </w:p>
    <w:p>
      <w:pPr>
        <w:jc w:val="start"/>
        <w:bidi/>
      </w:pPr>
      <w:r>
        <w:rPr>
          <w:sz w:val="24"/>
          <w:szCs w:val="24"/>
          <w:b w:val="1"/>
          <w:bCs w:val="1"/>
          <w:rtl/>
        </w:rPr>
        <w:t xml:space="preserve">
الأعلام،(دار العلم للملايين - بيروت،2002،ط 15،ج 5،ص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2026-05-01T01:17:50+03:00</dcterms:created>
  <dcterms:modified xsi:type="dcterms:W3CDTF">2026-05-01T01:17:50+03:00</dcterms:modified>
</cp:coreProperties>
</file>

<file path=docProps/custom.xml><?xml version="1.0" encoding="utf-8"?>
<Properties xmlns="http://schemas.openxmlformats.org/officeDocument/2006/custom-properties" xmlns:vt="http://schemas.openxmlformats.org/officeDocument/2006/docPropsVTypes"/>
</file>