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المسيحي
</w:t>
      </w:r>
    </w:p>
    <w:p>
      <w:pPr>
        <w:jc w:val="start"/>
        <w:bidi/>
      </w:pPr>
      <w:r>
        <w:rPr>
          <w:rFonts w:ascii="arial" w:hAnsi="arial" w:eastAsia="arial" w:cs="arial"/>
          <w:sz w:val="28"/>
          <w:szCs w:val="28"/>
          <w:b w:val="1"/>
          <w:bCs w:val="1"/>
          <w:rtl/>
        </w:rPr>
        <w:t xml:space="preserve">المسيحي
</w:t>
      </w:r>
    </w:p>
    <w:p>
      <w:pPr/>
      <w:r>
        <w:rPr/>
        <w:t xml:space="preserve">المسيحي  عيسى بن يحيى المسيحي الجرجاني، أبو سهل: حكيم، غلب عليه الطب علما وعملا. فصيح العبارة، جيد التصنيف، حسن الخط، متقن للعربية. ولد في جرجان، ونشأ وتعلم ببغداد، وسكن خراسان فتقدم عند سلطانها. ومات عن أربعين عاما. وعنه أخذ ابن سينا صناعة الطب، وتفوق ابن سينا بعد ذلك فصنف له كتبا وجعلها باسمه. اطلع ابن أبي أصيبعة على نسخة من كتاب للمسيحي بخطه، في (إظهار حكمة اله تعالى في خلق الإنسان- خ) وقال: إنه في نهاية الصحبة والإتقان. ومن كتبه (الطب الكلي- خ) و (كتاب المئة في الصناعة الطبية- خ) وهو من أجود كتبه وأشهرها، ولأمين الدولة ابن التلميذ حاشية عليه، و (العلم الطبيعي) و (مقالة في الجدري) و (أصول الطب- خ) و (المسائل- خ) و (اختصار المجسطي) وكتاب في (الوباء) وآخر في (تعبير الرؤيا) ألفهما للملك العادل خوارزمشاه أبي العباس مأمون بن محمد.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2026-04-30T23:54:04+03:00</dcterms:created>
  <dcterms:modified xsi:type="dcterms:W3CDTF">2026-04-30T23:54:04+03:00</dcterms:modified>
</cp:coreProperties>
</file>

<file path=docProps/custom.xml><?xml version="1.0" encoding="utf-8"?>
<Properties xmlns="http://schemas.openxmlformats.org/officeDocument/2006/custom-properties" xmlns:vt="http://schemas.openxmlformats.org/officeDocument/2006/docPropsVTypes"/>
</file>